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33686" w14:textId="77777777" w:rsidR="00D02083" w:rsidRPr="00756793" w:rsidRDefault="00D02083" w:rsidP="00D02083">
      <w:pPr>
        <w:spacing w:after="0"/>
        <w:rPr>
          <w:rFonts w:ascii="Arial" w:hAnsi="Arial" w:cs="Arial"/>
          <w:sz w:val="20"/>
          <w:szCs w:val="20"/>
        </w:rPr>
      </w:pPr>
      <w:r w:rsidRPr="00756793">
        <w:rPr>
          <w:rFonts w:ascii="Arial" w:hAnsi="Arial" w:cs="Arial"/>
          <w:b/>
          <w:bCs/>
          <w:sz w:val="20"/>
          <w:szCs w:val="20"/>
        </w:rPr>
        <w:t>Table 1.</w:t>
      </w:r>
      <w:r w:rsidRPr="00756793">
        <w:rPr>
          <w:rFonts w:ascii="Arial" w:hAnsi="Arial" w:cs="Arial"/>
          <w:sz w:val="20"/>
          <w:szCs w:val="20"/>
        </w:rPr>
        <w:t xml:space="preserve"> Incidence numbers estimate of US patients with definite impact </w:t>
      </w:r>
      <w:r w:rsidRPr="00756793">
        <w:rPr>
          <w:rFonts w:ascii="Arial" w:hAnsi="Arial" w:cs="Arial"/>
          <w:i/>
          <w:iCs/>
          <w:sz w:val="20"/>
          <w:szCs w:val="20"/>
        </w:rPr>
        <w:t>TSC1</w:t>
      </w:r>
      <w:r w:rsidRPr="00756793">
        <w:rPr>
          <w:rFonts w:ascii="Arial" w:hAnsi="Arial" w:cs="Arial"/>
          <w:sz w:val="20"/>
          <w:szCs w:val="20"/>
        </w:rPr>
        <w:t xml:space="preserve"> and </w:t>
      </w:r>
      <w:r w:rsidRPr="00756793">
        <w:rPr>
          <w:rFonts w:ascii="Arial" w:hAnsi="Arial" w:cs="Arial"/>
          <w:i/>
          <w:iCs/>
          <w:sz w:val="20"/>
          <w:szCs w:val="20"/>
        </w:rPr>
        <w:t>TSC2</w:t>
      </w:r>
      <w:r w:rsidRPr="00756793">
        <w:rPr>
          <w:rFonts w:ascii="Arial" w:hAnsi="Arial" w:cs="Arial"/>
          <w:sz w:val="20"/>
          <w:szCs w:val="20"/>
        </w:rPr>
        <w:t xml:space="preserve"> alterations available for first-line therapy in 2030</w:t>
      </w:r>
    </w:p>
    <w:tbl>
      <w:tblPr>
        <w:tblW w:w="12960" w:type="dxa"/>
        <w:tblLayout w:type="fixed"/>
        <w:tblCellMar>
          <w:left w:w="0" w:type="dxa"/>
          <w:right w:w="0" w:type="dxa"/>
        </w:tblCellMar>
        <w:tblLook w:val="0420" w:firstRow="1" w:lastRow="0" w:firstColumn="0" w:lastColumn="0" w:noHBand="0" w:noVBand="1"/>
      </w:tblPr>
      <w:tblGrid>
        <w:gridCol w:w="1654"/>
        <w:gridCol w:w="1880"/>
        <w:gridCol w:w="1866"/>
        <w:gridCol w:w="16"/>
        <w:gridCol w:w="1882"/>
        <w:gridCol w:w="1882"/>
        <w:gridCol w:w="1882"/>
        <w:gridCol w:w="1878"/>
        <w:gridCol w:w="20"/>
      </w:tblGrid>
      <w:tr w:rsidR="00D02083" w:rsidRPr="00C02276" w14:paraId="392AE581" w14:textId="77777777" w:rsidTr="001F7776">
        <w:tc>
          <w:tcPr>
            <w:tcW w:w="1654" w:type="dxa"/>
            <w:tcBorders>
              <w:top w:val="single" w:sz="4" w:space="0" w:color="auto"/>
              <w:bottom w:val="single" w:sz="4" w:space="0" w:color="auto"/>
            </w:tcBorders>
            <w:shd w:val="clear" w:color="auto" w:fill="BFBFBF" w:themeFill="background1" w:themeFillShade="BF"/>
            <w:tcMar>
              <w:top w:w="58" w:type="dxa"/>
              <w:left w:w="15" w:type="dxa"/>
              <w:bottom w:w="58" w:type="dxa"/>
              <w:right w:w="15" w:type="dxa"/>
            </w:tcMar>
            <w:vAlign w:val="bottom"/>
          </w:tcPr>
          <w:p w14:paraId="3CAF6B1A" w14:textId="77777777" w:rsidR="00D02083" w:rsidRPr="00756793" w:rsidRDefault="00D02083" w:rsidP="001F7776">
            <w:pPr>
              <w:spacing w:after="0" w:line="240" w:lineRule="auto"/>
              <w:rPr>
                <w:rFonts w:ascii="Arial" w:hAnsi="Arial" w:cs="Arial"/>
                <w:b/>
                <w:bCs/>
                <w:sz w:val="20"/>
                <w:szCs w:val="20"/>
              </w:rPr>
            </w:pPr>
          </w:p>
        </w:tc>
        <w:tc>
          <w:tcPr>
            <w:tcW w:w="3746" w:type="dxa"/>
            <w:gridSpan w:val="2"/>
            <w:tcBorders>
              <w:top w:val="single" w:sz="4" w:space="0" w:color="auto"/>
              <w:bottom w:val="single" w:sz="4" w:space="0" w:color="auto"/>
            </w:tcBorders>
            <w:shd w:val="clear" w:color="auto" w:fill="BFBFBF" w:themeFill="background1" w:themeFillShade="BF"/>
            <w:tcMar>
              <w:top w:w="58" w:type="dxa"/>
              <w:left w:w="15" w:type="dxa"/>
              <w:bottom w:w="58" w:type="dxa"/>
              <w:right w:w="15" w:type="dxa"/>
            </w:tcMar>
            <w:vAlign w:val="bottom"/>
          </w:tcPr>
          <w:p w14:paraId="30AC95AB" w14:textId="77777777" w:rsidR="00D02083" w:rsidRPr="00756793" w:rsidRDefault="00D02083" w:rsidP="001F7776">
            <w:pPr>
              <w:spacing w:after="0" w:line="240" w:lineRule="auto"/>
              <w:jc w:val="center"/>
              <w:rPr>
                <w:rFonts w:ascii="Arial" w:hAnsi="Arial" w:cs="Arial"/>
                <w:b/>
                <w:bCs/>
                <w:sz w:val="20"/>
                <w:szCs w:val="20"/>
              </w:rPr>
            </w:pPr>
            <w:r w:rsidRPr="00756793">
              <w:rPr>
                <w:rFonts w:ascii="Arial" w:hAnsi="Arial" w:cs="Arial"/>
                <w:b/>
                <w:bCs/>
                <w:sz w:val="20"/>
                <w:szCs w:val="20"/>
              </w:rPr>
              <w:t>Definite Impact</w:t>
            </w:r>
          </w:p>
          <w:p w14:paraId="67F69710" w14:textId="77777777" w:rsidR="00D02083" w:rsidRPr="00756793" w:rsidRDefault="00D02083" w:rsidP="001F7776">
            <w:pPr>
              <w:spacing w:after="0" w:line="240" w:lineRule="auto"/>
              <w:jc w:val="center"/>
              <w:rPr>
                <w:rFonts w:ascii="Arial" w:hAnsi="Arial" w:cs="Arial"/>
                <w:b/>
                <w:bCs/>
                <w:sz w:val="20"/>
                <w:szCs w:val="20"/>
              </w:rPr>
            </w:pPr>
            <w:r w:rsidRPr="00756793">
              <w:rPr>
                <w:rFonts w:ascii="Arial" w:hAnsi="Arial" w:cs="Arial"/>
                <w:b/>
                <w:bCs/>
                <w:i/>
                <w:iCs/>
                <w:sz w:val="20"/>
                <w:szCs w:val="20"/>
              </w:rPr>
              <w:t>TSC1</w:t>
            </w:r>
            <w:r w:rsidRPr="00756793">
              <w:rPr>
                <w:rFonts w:ascii="Arial" w:hAnsi="Arial" w:cs="Arial"/>
                <w:b/>
                <w:bCs/>
                <w:sz w:val="20"/>
                <w:szCs w:val="20"/>
              </w:rPr>
              <w:t xml:space="preserve"> Alterations</w:t>
            </w:r>
          </w:p>
        </w:tc>
        <w:tc>
          <w:tcPr>
            <w:tcW w:w="3780" w:type="dxa"/>
            <w:gridSpan w:val="3"/>
            <w:tcBorders>
              <w:top w:val="single" w:sz="4" w:space="0" w:color="auto"/>
              <w:bottom w:val="single" w:sz="4" w:space="0" w:color="auto"/>
            </w:tcBorders>
            <w:shd w:val="clear" w:color="auto" w:fill="BFBFBF" w:themeFill="background1" w:themeFillShade="BF"/>
            <w:vAlign w:val="bottom"/>
          </w:tcPr>
          <w:p w14:paraId="7A0E27C3" w14:textId="77777777" w:rsidR="00D02083" w:rsidRPr="00756793" w:rsidRDefault="00D02083" w:rsidP="001F7776">
            <w:pPr>
              <w:spacing w:after="0" w:line="240" w:lineRule="auto"/>
              <w:jc w:val="center"/>
              <w:rPr>
                <w:rFonts w:ascii="Arial" w:hAnsi="Arial" w:cs="Arial"/>
                <w:b/>
                <w:bCs/>
                <w:sz w:val="20"/>
                <w:szCs w:val="20"/>
              </w:rPr>
            </w:pPr>
            <w:r w:rsidRPr="00756793">
              <w:rPr>
                <w:rFonts w:ascii="Arial" w:hAnsi="Arial" w:cs="Arial"/>
                <w:b/>
                <w:bCs/>
                <w:sz w:val="20"/>
                <w:szCs w:val="20"/>
              </w:rPr>
              <w:t>Definite Impact</w:t>
            </w:r>
          </w:p>
          <w:p w14:paraId="0C1853B6" w14:textId="77777777" w:rsidR="00D02083" w:rsidRPr="00756793" w:rsidRDefault="00D02083" w:rsidP="001F7776">
            <w:pPr>
              <w:spacing w:after="0" w:line="240" w:lineRule="auto"/>
              <w:jc w:val="center"/>
              <w:rPr>
                <w:rFonts w:ascii="Arial" w:hAnsi="Arial" w:cs="Arial"/>
                <w:b/>
                <w:bCs/>
                <w:sz w:val="20"/>
                <w:szCs w:val="20"/>
              </w:rPr>
            </w:pPr>
            <w:r w:rsidRPr="00756793">
              <w:rPr>
                <w:rFonts w:ascii="Arial" w:hAnsi="Arial" w:cs="Arial"/>
                <w:b/>
                <w:bCs/>
                <w:i/>
                <w:iCs/>
                <w:sz w:val="20"/>
                <w:szCs w:val="20"/>
              </w:rPr>
              <w:t>TSC2</w:t>
            </w:r>
            <w:r w:rsidRPr="00756793">
              <w:rPr>
                <w:rFonts w:ascii="Arial" w:hAnsi="Arial" w:cs="Arial"/>
                <w:b/>
                <w:bCs/>
                <w:sz w:val="20"/>
                <w:szCs w:val="20"/>
              </w:rPr>
              <w:t xml:space="preserve"> Alterations</w:t>
            </w:r>
          </w:p>
        </w:tc>
        <w:tc>
          <w:tcPr>
            <w:tcW w:w="3760" w:type="dxa"/>
            <w:gridSpan w:val="2"/>
            <w:tcBorders>
              <w:top w:val="single" w:sz="4" w:space="0" w:color="auto"/>
              <w:bottom w:val="single" w:sz="4" w:space="0" w:color="auto"/>
            </w:tcBorders>
            <w:shd w:val="clear" w:color="auto" w:fill="BFBFBF" w:themeFill="background1" w:themeFillShade="BF"/>
            <w:vAlign w:val="bottom"/>
          </w:tcPr>
          <w:p w14:paraId="1C5027F0" w14:textId="77777777" w:rsidR="00D02083" w:rsidRPr="00756793" w:rsidRDefault="00D02083" w:rsidP="001F7776">
            <w:pPr>
              <w:spacing w:after="0" w:line="240" w:lineRule="auto"/>
              <w:jc w:val="center"/>
              <w:rPr>
                <w:rFonts w:ascii="Arial" w:hAnsi="Arial" w:cs="Arial"/>
                <w:b/>
                <w:bCs/>
                <w:sz w:val="20"/>
                <w:szCs w:val="20"/>
              </w:rPr>
            </w:pPr>
            <w:r w:rsidRPr="00756793">
              <w:rPr>
                <w:rFonts w:ascii="Arial" w:hAnsi="Arial" w:cs="Arial"/>
                <w:b/>
                <w:bCs/>
                <w:sz w:val="20"/>
                <w:szCs w:val="20"/>
              </w:rPr>
              <w:t>Total</w:t>
            </w:r>
          </w:p>
        </w:tc>
        <w:tc>
          <w:tcPr>
            <w:tcW w:w="20" w:type="dxa"/>
            <w:tcBorders>
              <w:top w:val="single" w:sz="4" w:space="0" w:color="auto"/>
              <w:bottom w:val="single" w:sz="4" w:space="0" w:color="auto"/>
            </w:tcBorders>
            <w:shd w:val="clear" w:color="auto" w:fill="BFBFBF" w:themeFill="background1" w:themeFillShade="BF"/>
          </w:tcPr>
          <w:p w14:paraId="4A18EC37" w14:textId="77777777" w:rsidR="00D02083" w:rsidRPr="00756793" w:rsidRDefault="00D02083" w:rsidP="001F7776">
            <w:pPr>
              <w:spacing w:after="0" w:line="240" w:lineRule="auto"/>
              <w:jc w:val="center"/>
              <w:rPr>
                <w:rFonts w:ascii="Arial" w:hAnsi="Arial" w:cs="Arial"/>
                <w:b/>
                <w:bCs/>
                <w:sz w:val="20"/>
                <w:szCs w:val="20"/>
              </w:rPr>
            </w:pPr>
          </w:p>
        </w:tc>
      </w:tr>
      <w:tr w:rsidR="00D02083" w:rsidRPr="00C02276" w14:paraId="41B34778" w14:textId="77777777" w:rsidTr="001F7776">
        <w:tc>
          <w:tcPr>
            <w:tcW w:w="1654" w:type="dxa"/>
            <w:tcBorders>
              <w:bottom w:val="single" w:sz="4" w:space="0" w:color="auto"/>
            </w:tcBorders>
            <w:shd w:val="clear" w:color="auto" w:fill="BFBFBF" w:themeFill="background1" w:themeFillShade="BF"/>
            <w:tcMar>
              <w:top w:w="58" w:type="dxa"/>
              <w:left w:w="15" w:type="dxa"/>
              <w:bottom w:w="58" w:type="dxa"/>
              <w:right w:w="15" w:type="dxa"/>
            </w:tcMar>
            <w:vAlign w:val="bottom"/>
            <w:hideMark/>
          </w:tcPr>
          <w:p w14:paraId="3DB35271" w14:textId="77777777" w:rsidR="00D02083" w:rsidRPr="00756793" w:rsidRDefault="00D02083" w:rsidP="001F7776">
            <w:pPr>
              <w:spacing w:after="0" w:line="240" w:lineRule="auto"/>
              <w:rPr>
                <w:rFonts w:ascii="Arial" w:hAnsi="Arial" w:cs="Arial"/>
                <w:sz w:val="20"/>
                <w:szCs w:val="20"/>
              </w:rPr>
            </w:pPr>
            <w:r w:rsidRPr="00756793">
              <w:rPr>
                <w:rFonts w:ascii="Arial" w:hAnsi="Arial" w:cs="Arial"/>
                <w:b/>
                <w:bCs/>
                <w:sz w:val="20"/>
                <w:szCs w:val="20"/>
              </w:rPr>
              <w:t>Tumor Type</w:t>
            </w:r>
          </w:p>
        </w:tc>
        <w:tc>
          <w:tcPr>
            <w:tcW w:w="1880" w:type="dxa"/>
            <w:tcBorders>
              <w:bottom w:val="single" w:sz="4" w:space="0" w:color="auto"/>
            </w:tcBorders>
            <w:shd w:val="clear" w:color="auto" w:fill="BFBFBF" w:themeFill="background1" w:themeFillShade="BF"/>
            <w:tcMar>
              <w:top w:w="58" w:type="dxa"/>
              <w:left w:w="15" w:type="dxa"/>
              <w:bottom w:w="58" w:type="dxa"/>
              <w:right w:w="15" w:type="dxa"/>
            </w:tcMar>
            <w:vAlign w:val="bottom"/>
            <w:hideMark/>
          </w:tcPr>
          <w:p w14:paraId="236E84F5" w14:textId="77777777" w:rsidR="00D02083" w:rsidRPr="00756793" w:rsidRDefault="00D02083" w:rsidP="001F7776">
            <w:pPr>
              <w:spacing w:after="0" w:line="240" w:lineRule="auto"/>
              <w:jc w:val="center"/>
              <w:rPr>
                <w:rFonts w:ascii="Arial" w:hAnsi="Arial" w:cs="Arial"/>
                <w:sz w:val="20"/>
                <w:szCs w:val="20"/>
              </w:rPr>
            </w:pPr>
            <w:proofErr w:type="spellStart"/>
            <w:r w:rsidRPr="00756793">
              <w:rPr>
                <w:rFonts w:ascii="Arial" w:hAnsi="Arial" w:cs="Arial"/>
                <w:b/>
                <w:bCs/>
                <w:sz w:val="20"/>
                <w:szCs w:val="20"/>
              </w:rPr>
              <w:t>Incidence</w:t>
            </w:r>
            <w:r w:rsidRPr="00756793">
              <w:rPr>
                <w:rFonts w:ascii="Arial" w:hAnsi="Arial" w:cs="Arial"/>
                <w:sz w:val="20"/>
                <w:szCs w:val="20"/>
                <w:vertAlign w:val="superscript"/>
              </w:rPr>
              <w:t>a</w:t>
            </w:r>
            <w:proofErr w:type="spellEnd"/>
          </w:p>
        </w:tc>
        <w:tc>
          <w:tcPr>
            <w:tcW w:w="1882" w:type="dxa"/>
            <w:gridSpan w:val="2"/>
            <w:tcBorders>
              <w:bottom w:val="single" w:sz="4" w:space="0" w:color="auto"/>
            </w:tcBorders>
            <w:shd w:val="clear" w:color="auto" w:fill="BFBFBF" w:themeFill="background1" w:themeFillShade="BF"/>
            <w:tcMar>
              <w:top w:w="58" w:type="dxa"/>
              <w:left w:w="15" w:type="dxa"/>
              <w:bottom w:w="58" w:type="dxa"/>
              <w:right w:w="15" w:type="dxa"/>
            </w:tcMar>
            <w:vAlign w:val="bottom"/>
            <w:hideMark/>
          </w:tcPr>
          <w:p w14:paraId="61EF5E8E" w14:textId="77777777" w:rsidR="00D02083" w:rsidRPr="00756793" w:rsidRDefault="00D02083" w:rsidP="001F7776">
            <w:pPr>
              <w:spacing w:after="0" w:line="240" w:lineRule="auto"/>
              <w:jc w:val="center"/>
              <w:rPr>
                <w:rFonts w:ascii="Arial" w:hAnsi="Arial" w:cs="Arial"/>
                <w:b/>
                <w:bCs/>
                <w:sz w:val="20"/>
                <w:szCs w:val="20"/>
              </w:rPr>
            </w:pPr>
            <w:r w:rsidRPr="00756793">
              <w:rPr>
                <w:rFonts w:ascii="Arial" w:hAnsi="Arial" w:cs="Arial"/>
                <w:b/>
                <w:bCs/>
                <w:sz w:val="20"/>
                <w:szCs w:val="20"/>
              </w:rPr>
              <w:t>Estimated Number</w:t>
            </w:r>
          </w:p>
          <w:p w14:paraId="370B463A"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b/>
                <w:bCs/>
                <w:sz w:val="20"/>
                <w:szCs w:val="20"/>
              </w:rPr>
              <w:t xml:space="preserve">of US </w:t>
            </w:r>
            <w:proofErr w:type="spellStart"/>
            <w:r w:rsidRPr="00756793">
              <w:rPr>
                <w:rFonts w:ascii="Arial" w:hAnsi="Arial" w:cs="Arial"/>
                <w:b/>
                <w:bCs/>
                <w:sz w:val="20"/>
                <w:szCs w:val="20"/>
              </w:rPr>
              <w:t>Patients</w:t>
            </w:r>
            <w:r w:rsidRPr="00756793">
              <w:rPr>
                <w:rFonts w:ascii="Arial" w:hAnsi="Arial" w:cs="Arial"/>
                <w:b/>
                <w:bCs/>
                <w:sz w:val="20"/>
                <w:szCs w:val="20"/>
                <w:vertAlign w:val="superscript"/>
              </w:rPr>
              <w:t>b</w:t>
            </w:r>
            <w:proofErr w:type="spellEnd"/>
          </w:p>
        </w:tc>
        <w:tc>
          <w:tcPr>
            <w:tcW w:w="1882" w:type="dxa"/>
            <w:tcBorders>
              <w:bottom w:val="single" w:sz="4" w:space="0" w:color="auto"/>
            </w:tcBorders>
            <w:shd w:val="clear" w:color="auto" w:fill="BFBFBF" w:themeFill="background1" w:themeFillShade="BF"/>
            <w:vAlign w:val="bottom"/>
          </w:tcPr>
          <w:p w14:paraId="4691F457" w14:textId="77777777" w:rsidR="00D02083" w:rsidRPr="00756793" w:rsidRDefault="00D02083" w:rsidP="001F7776">
            <w:pPr>
              <w:spacing w:after="0" w:line="240" w:lineRule="auto"/>
              <w:jc w:val="center"/>
              <w:rPr>
                <w:rFonts w:ascii="Arial" w:hAnsi="Arial" w:cs="Arial"/>
                <w:b/>
                <w:bCs/>
                <w:sz w:val="20"/>
                <w:szCs w:val="20"/>
                <w:vertAlign w:val="superscript"/>
              </w:rPr>
            </w:pPr>
            <w:proofErr w:type="spellStart"/>
            <w:r w:rsidRPr="00756793">
              <w:rPr>
                <w:rFonts w:ascii="Arial" w:hAnsi="Arial" w:cs="Arial"/>
                <w:b/>
                <w:bCs/>
                <w:sz w:val="20"/>
                <w:szCs w:val="20"/>
              </w:rPr>
              <w:t>Incidence</w:t>
            </w:r>
            <w:r w:rsidRPr="00756793">
              <w:rPr>
                <w:rFonts w:ascii="Arial" w:hAnsi="Arial" w:cs="Arial"/>
                <w:b/>
                <w:bCs/>
                <w:sz w:val="20"/>
                <w:szCs w:val="20"/>
                <w:vertAlign w:val="superscript"/>
              </w:rPr>
              <w:t>a</w:t>
            </w:r>
            <w:proofErr w:type="spellEnd"/>
          </w:p>
        </w:tc>
        <w:tc>
          <w:tcPr>
            <w:tcW w:w="1882" w:type="dxa"/>
            <w:tcBorders>
              <w:bottom w:val="single" w:sz="4" w:space="0" w:color="auto"/>
            </w:tcBorders>
            <w:shd w:val="clear" w:color="auto" w:fill="BFBFBF" w:themeFill="background1" w:themeFillShade="BF"/>
            <w:vAlign w:val="bottom"/>
          </w:tcPr>
          <w:p w14:paraId="68577C34" w14:textId="77777777" w:rsidR="00D02083" w:rsidRPr="00756793" w:rsidRDefault="00D02083" w:rsidP="001F7776">
            <w:pPr>
              <w:spacing w:after="0" w:line="240" w:lineRule="auto"/>
              <w:jc w:val="center"/>
              <w:rPr>
                <w:rFonts w:ascii="Arial" w:hAnsi="Arial" w:cs="Arial"/>
                <w:b/>
                <w:bCs/>
                <w:sz w:val="20"/>
                <w:szCs w:val="20"/>
              </w:rPr>
            </w:pPr>
            <w:r w:rsidRPr="00756793">
              <w:rPr>
                <w:rFonts w:ascii="Arial" w:hAnsi="Arial" w:cs="Arial"/>
                <w:b/>
                <w:bCs/>
                <w:sz w:val="20"/>
                <w:szCs w:val="20"/>
              </w:rPr>
              <w:t>Estimated Number</w:t>
            </w:r>
          </w:p>
          <w:p w14:paraId="7F44C57B" w14:textId="77777777" w:rsidR="00D02083" w:rsidRPr="00756793" w:rsidRDefault="00D02083" w:rsidP="001F7776">
            <w:pPr>
              <w:spacing w:after="0" w:line="240" w:lineRule="auto"/>
              <w:jc w:val="center"/>
              <w:rPr>
                <w:rFonts w:ascii="Arial" w:hAnsi="Arial" w:cs="Arial"/>
                <w:b/>
                <w:bCs/>
                <w:sz w:val="20"/>
                <w:szCs w:val="20"/>
              </w:rPr>
            </w:pPr>
            <w:r w:rsidRPr="00756793">
              <w:rPr>
                <w:rFonts w:ascii="Arial" w:hAnsi="Arial" w:cs="Arial"/>
                <w:b/>
                <w:bCs/>
                <w:sz w:val="20"/>
                <w:szCs w:val="20"/>
              </w:rPr>
              <w:t xml:space="preserve">of US </w:t>
            </w:r>
            <w:proofErr w:type="spellStart"/>
            <w:r w:rsidRPr="00756793">
              <w:rPr>
                <w:rFonts w:ascii="Arial" w:hAnsi="Arial" w:cs="Arial"/>
                <w:b/>
                <w:bCs/>
                <w:sz w:val="20"/>
                <w:szCs w:val="20"/>
              </w:rPr>
              <w:t>Patients</w:t>
            </w:r>
            <w:r w:rsidRPr="00756793">
              <w:rPr>
                <w:rFonts w:ascii="Arial" w:hAnsi="Arial" w:cs="Arial"/>
                <w:b/>
                <w:bCs/>
                <w:sz w:val="20"/>
                <w:szCs w:val="20"/>
                <w:vertAlign w:val="superscript"/>
              </w:rPr>
              <w:t>b</w:t>
            </w:r>
            <w:proofErr w:type="spellEnd"/>
          </w:p>
        </w:tc>
        <w:tc>
          <w:tcPr>
            <w:tcW w:w="1882" w:type="dxa"/>
            <w:tcBorders>
              <w:bottom w:val="single" w:sz="4" w:space="0" w:color="auto"/>
            </w:tcBorders>
            <w:shd w:val="clear" w:color="auto" w:fill="BFBFBF" w:themeFill="background1" w:themeFillShade="BF"/>
            <w:vAlign w:val="bottom"/>
          </w:tcPr>
          <w:p w14:paraId="0C5903C9" w14:textId="77777777" w:rsidR="00D02083" w:rsidRPr="00756793" w:rsidRDefault="00D02083" w:rsidP="001F7776">
            <w:pPr>
              <w:spacing w:after="0" w:line="240" w:lineRule="auto"/>
              <w:jc w:val="center"/>
              <w:rPr>
                <w:rFonts w:ascii="Arial" w:hAnsi="Arial" w:cs="Arial"/>
                <w:b/>
                <w:bCs/>
                <w:sz w:val="20"/>
                <w:szCs w:val="20"/>
                <w:vertAlign w:val="superscript"/>
              </w:rPr>
            </w:pPr>
            <w:proofErr w:type="spellStart"/>
            <w:r w:rsidRPr="00756793">
              <w:rPr>
                <w:rFonts w:ascii="Arial" w:hAnsi="Arial" w:cs="Arial"/>
                <w:b/>
                <w:bCs/>
                <w:sz w:val="20"/>
                <w:szCs w:val="20"/>
              </w:rPr>
              <w:t>Incidence</w:t>
            </w:r>
            <w:r w:rsidRPr="00756793">
              <w:rPr>
                <w:rFonts w:ascii="Arial" w:hAnsi="Arial" w:cs="Arial"/>
                <w:b/>
                <w:bCs/>
                <w:sz w:val="20"/>
                <w:szCs w:val="20"/>
                <w:vertAlign w:val="superscript"/>
              </w:rPr>
              <w:t>a</w:t>
            </w:r>
            <w:proofErr w:type="spellEnd"/>
          </w:p>
        </w:tc>
        <w:tc>
          <w:tcPr>
            <w:tcW w:w="1898" w:type="dxa"/>
            <w:gridSpan w:val="2"/>
            <w:tcBorders>
              <w:bottom w:val="single" w:sz="4" w:space="0" w:color="auto"/>
            </w:tcBorders>
            <w:shd w:val="clear" w:color="auto" w:fill="BFBFBF" w:themeFill="background1" w:themeFillShade="BF"/>
          </w:tcPr>
          <w:p w14:paraId="4DF2F27C" w14:textId="77777777" w:rsidR="00D02083" w:rsidRPr="00756793" w:rsidRDefault="00D02083" w:rsidP="001F7776">
            <w:pPr>
              <w:spacing w:after="0" w:line="240" w:lineRule="auto"/>
              <w:jc w:val="center"/>
              <w:rPr>
                <w:rFonts w:ascii="Arial" w:hAnsi="Arial" w:cs="Arial"/>
                <w:b/>
                <w:bCs/>
                <w:sz w:val="20"/>
                <w:szCs w:val="20"/>
              </w:rPr>
            </w:pPr>
            <w:r w:rsidRPr="00756793">
              <w:rPr>
                <w:rFonts w:ascii="Arial" w:hAnsi="Arial" w:cs="Arial"/>
                <w:b/>
                <w:bCs/>
                <w:sz w:val="20"/>
                <w:szCs w:val="20"/>
              </w:rPr>
              <w:t>Estimated Number</w:t>
            </w:r>
          </w:p>
          <w:p w14:paraId="7C4D6F49" w14:textId="77777777" w:rsidR="00D02083" w:rsidRPr="00756793" w:rsidRDefault="00D02083" w:rsidP="001F7776">
            <w:pPr>
              <w:spacing w:after="0" w:line="240" w:lineRule="auto"/>
              <w:jc w:val="center"/>
              <w:rPr>
                <w:rFonts w:ascii="Arial" w:hAnsi="Arial" w:cs="Arial"/>
                <w:b/>
                <w:bCs/>
                <w:sz w:val="20"/>
                <w:szCs w:val="20"/>
              </w:rPr>
            </w:pPr>
            <w:r w:rsidRPr="00756793">
              <w:rPr>
                <w:rFonts w:ascii="Arial" w:hAnsi="Arial" w:cs="Arial"/>
                <w:b/>
                <w:bCs/>
                <w:sz w:val="20"/>
                <w:szCs w:val="20"/>
              </w:rPr>
              <w:t xml:space="preserve">of US </w:t>
            </w:r>
            <w:proofErr w:type="spellStart"/>
            <w:r w:rsidRPr="00756793">
              <w:rPr>
                <w:rFonts w:ascii="Arial" w:hAnsi="Arial" w:cs="Arial"/>
                <w:b/>
                <w:bCs/>
                <w:sz w:val="20"/>
                <w:szCs w:val="20"/>
              </w:rPr>
              <w:t>Patients</w:t>
            </w:r>
            <w:r w:rsidRPr="00756793">
              <w:rPr>
                <w:rFonts w:ascii="Arial" w:hAnsi="Arial" w:cs="Arial"/>
                <w:b/>
                <w:bCs/>
                <w:sz w:val="20"/>
                <w:szCs w:val="20"/>
                <w:vertAlign w:val="superscript"/>
              </w:rPr>
              <w:t>b</w:t>
            </w:r>
            <w:proofErr w:type="spellEnd"/>
          </w:p>
        </w:tc>
      </w:tr>
      <w:tr w:rsidR="00D02083" w:rsidRPr="00C02276" w14:paraId="0712E576" w14:textId="77777777" w:rsidTr="001F7776">
        <w:tc>
          <w:tcPr>
            <w:tcW w:w="1654" w:type="dxa"/>
            <w:tcBorders>
              <w:top w:val="single" w:sz="4" w:space="0" w:color="auto"/>
            </w:tcBorders>
            <w:shd w:val="clear" w:color="auto" w:fill="F2F2F2" w:themeFill="background1" w:themeFillShade="F2"/>
            <w:tcMar>
              <w:top w:w="58" w:type="dxa"/>
              <w:left w:w="15" w:type="dxa"/>
              <w:bottom w:w="58" w:type="dxa"/>
              <w:right w:w="15" w:type="dxa"/>
            </w:tcMar>
            <w:vAlign w:val="center"/>
            <w:hideMark/>
          </w:tcPr>
          <w:p w14:paraId="15C99B7E" w14:textId="77777777" w:rsidR="00D02083" w:rsidRPr="00756793" w:rsidRDefault="00D02083" w:rsidP="001F7776">
            <w:pPr>
              <w:spacing w:after="0" w:line="240" w:lineRule="auto"/>
              <w:rPr>
                <w:rFonts w:ascii="Arial" w:hAnsi="Arial" w:cs="Arial"/>
                <w:sz w:val="20"/>
                <w:szCs w:val="20"/>
              </w:rPr>
            </w:pPr>
            <w:r w:rsidRPr="00756793">
              <w:rPr>
                <w:rFonts w:ascii="Arial" w:hAnsi="Arial" w:cs="Arial"/>
                <w:sz w:val="20"/>
                <w:szCs w:val="20"/>
              </w:rPr>
              <w:t>Bladder</w:t>
            </w:r>
          </w:p>
        </w:tc>
        <w:tc>
          <w:tcPr>
            <w:tcW w:w="1880" w:type="dxa"/>
            <w:tcBorders>
              <w:top w:val="single" w:sz="4" w:space="0" w:color="auto"/>
            </w:tcBorders>
            <w:shd w:val="clear" w:color="auto" w:fill="F2F2F2" w:themeFill="background1" w:themeFillShade="F2"/>
            <w:tcMar>
              <w:top w:w="58" w:type="dxa"/>
              <w:left w:w="15" w:type="dxa"/>
              <w:bottom w:w="58" w:type="dxa"/>
              <w:right w:w="15" w:type="dxa"/>
            </w:tcMar>
            <w:vAlign w:val="center"/>
            <w:hideMark/>
          </w:tcPr>
          <w:p w14:paraId="725EDC87"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6.33%</w:t>
            </w:r>
          </w:p>
        </w:tc>
        <w:tc>
          <w:tcPr>
            <w:tcW w:w="1882" w:type="dxa"/>
            <w:gridSpan w:val="2"/>
            <w:tcBorders>
              <w:top w:val="single" w:sz="4" w:space="0" w:color="auto"/>
            </w:tcBorders>
            <w:shd w:val="clear" w:color="auto" w:fill="F2F2F2" w:themeFill="background1" w:themeFillShade="F2"/>
            <w:tcMar>
              <w:top w:w="58" w:type="dxa"/>
              <w:left w:w="15" w:type="dxa"/>
              <w:bottom w:w="58" w:type="dxa"/>
              <w:right w:w="15" w:type="dxa"/>
            </w:tcMar>
            <w:vAlign w:val="center"/>
            <w:hideMark/>
          </w:tcPr>
          <w:p w14:paraId="3C3F2A3E"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1772</w:t>
            </w:r>
          </w:p>
        </w:tc>
        <w:tc>
          <w:tcPr>
            <w:tcW w:w="1882" w:type="dxa"/>
            <w:tcBorders>
              <w:top w:val="single" w:sz="4" w:space="0" w:color="auto"/>
            </w:tcBorders>
            <w:shd w:val="clear" w:color="auto" w:fill="F2F2F2" w:themeFill="background1" w:themeFillShade="F2"/>
            <w:vAlign w:val="center"/>
          </w:tcPr>
          <w:p w14:paraId="5E446875"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1.70%</w:t>
            </w:r>
          </w:p>
        </w:tc>
        <w:tc>
          <w:tcPr>
            <w:tcW w:w="1882" w:type="dxa"/>
            <w:tcBorders>
              <w:top w:val="single" w:sz="4" w:space="0" w:color="auto"/>
            </w:tcBorders>
            <w:shd w:val="clear" w:color="auto" w:fill="F2F2F2" w:themeFill="background1" w:themeFillShade="F2"/>
            <w:vAlign w:val="center"/>
          </w:tcPr>
          <w:p w14:paraId="01684BD7"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477</w:t>
            </w:r>
          </w:p>
        </w:tc>
        <w:tc>
          <w:tcPr>
            <w:tcW w:w="1882" w:type="dxa"/>
            <w:tcBorders>
              <w:top w:val="single" w:sz="4" w:space="0" w:color="auto"/>
            </w:tcBorders>
            <w:shd w:val="clear" w:color="auto" w:fill="F2F2F2" w:themeFill="background1" w:themeFillShade="F2"/>
            <w:vAlign w:val="center"/>
          </w:tcPr>
          <w:p w14:paraId="193229D6"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8.03%</w:t>
            </w:r>
          </w:p>
        </w:tc>
        <w:tc>
          <w:tcPr>
            <w:tcW w:w="1898" w:type="dxa"/>
            <w:gridSpan w:val="2"/>
            <w:tcBorders>
              <w:top w:val="single" w:sz="4" w:space="0" w:color="auto"/>
            </w:tcBorders>
            <w:shd w:val="clear" w:color="auto" w:fill="F2F2F2" w:themeFill="background1" w:themeFillShade="F2"/>
            <w:vAlign w:val="center"/>
          </w:tcPr>
          <w:p w14:paraId="347BA919"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2249</w:t>
            </w:r>
          </w:p>
        </w:tc>
      </w:tr>
      <w:tr w:rsidR="00D02083" w:rsidRPr="00C02276" w14:paraId="1C65E538" w14:textId="77777777" w:rsidTr="001F7776">
        <w:tc>
          <w:tcPr>
            <w:tcW w:w="1654" w:type="dxa"/>
            <w:shd w:val="clear" w:color="auto" w:fill="FFFFFF" w:themeFill="background1"/>
            <w:tcMar>
              <w:top w:w="58" w:type="dxa"/>
              <w:left w:w="15" w:type="dxa"/>
              <w:bottom w:w="58" w:type="dxa"/>
              <w:right w:w="15" w:type="dxa"/>
            </w:tcMar>
            <w:vAlign w:val="center"/>
            <w:hideMark/>
          </w:tcPr>
          <w:p w14:paraId="7AF992A1" w14:textId="77777777" w:rsidR="00D02083" w:rsidRPr="00756793" w:rsidRDefault="00D02083" w:rsidP="001F7776">
            <w:pPr>
              <w:spacing w:after="0" w:line="240" w:lineRule="auto"/>
              <w:rPr>
                <w:rFonts w:ascii="Arial" w:hAnsi="Arial" w:cs="Arial"/>
                <w:sz w:val="20"/>
                <w:szCs w:val="20"/>
              </w:rPr>
            </w:pPr>
            <w:r w:rsidRPr="00756793">
              <w:rPr>
                <w:rFonts w:ascii="Arial" w:hAnsi="Arial" w:cs="Arial"/>
                <w:sz w:val="20"/>
                <w:szCs w:val="20"/>
              </w:rPr>
              <w:t>Endometrial</w:t>
            </w:r>
          </w:p>
        </w:tc>
        <w:tc>
          <w:tcPr>
            <w:tcW w:w="1880" w:type="dxa"/>
            <w:shd w:val="clear" w:color="auto" w:fill="FFFFFF" w:themeFill="background1"/>
            <w:tcMar>
              <w:top w:w="58" w:type="dxa"/>
              <w:left w:w="15" w:type="dxa"/>
              <w:bottom w:w="58" w:type="dxa"/>
              <w:right w:w="15" w:type="dxa"/>
            </w:tcMar>
            <w:vAlign w:val="center"/>
            <w:hideMark/>
          </w:tcPr>
          <w:p w14:paraId="537B19DE"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2.10%</w:t>
            </w:r>
          </w:p>
        </w:tc>
        <w:tc>
          <w:tcPr>
            <w:tcW w:w="1882" w:type="dxa"/>
            <w:gridSpan w:val="2"/>
            <w:shd w:val="clear" w:color="auto" w:fill="FFFFFF" w:themeFill="background1"/>
            <w:tcMar>
              <w:top w:w="58" w:type="dxa"/>
              <w:left w:w="15" w:type="dxa"/>
              <w:bottom w:w="58" w:type="dxa"/>
              <w:right w:w="15" w:type="dxa"/>
            </w:tcMar>
            <w:vAlign w:val="center"/>
            <w:hideMark/>
          </w:tcPr>
          <w:p w14:paraId="349C471F"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835</w:t>
            </w:r>
          </w:p>
        </w:tc>
        <w:tc>
          <w:tcPr>
            <w:tcW w:w="1882" w:type="dxa"/>
            <w:shd w:val="clear" w:color="auto" w:fill="FFFFFF" w:themeFill="background1"/>
            <w:vAlign w:val="center"/>
          </w:tcPr>
          <w:p w14:paraId="6A613232"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1.22%</w:t>
            </w:r>
          </w:p>
        </w:tc>
        <w:tc>
          <w:tcPr>
            <w:tcW w:w="1882" w:type="dxa"/>
            <w:shd w:val="clear" w:color="auto" w:fill="FFFFFF" w:themeFill="background1"/>
            <w:vAlign w:val="center"/>
          </w:tcPr>
          <w:p w14:paraId="2DCFA260"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487</w:t>
            </w:r>
          </w:p>
        </w:tc>
        <w:tc>
          <w:tcPr>
            <w:tcW w:w="1882" w:type="dxa"/>
            <w:shd w:val="clear" w:color="auto" w:fill="FFFFFF" w:themeFill="background1"/>
            <w:vAlign w:val="center"/>
          </w:tcPr>
          <w:p w14:paraId="1194FA2B"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3.32%</w:t>
            </w:r>
          </w:p>
        </w:tc>
        <w:tc>
          <w:tcPr>
            <w:tcW w:w="1898" w:type="dxa"/>
            <w:gridSpan w:val="2"/>
            <w:shd w:val="clear" w:color="auto" w:fill="FFFFFF" w:themeFill="background1"/>
            <w:vAlign w:val="center"/>
          </w:tcPr>
          <w:p w14:paraId="1B4E0D6E"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1322</w:t>
            </w:r>
          </w:p>
        </w:tc>
      </w:tr>
      <w:tr w:rsidR="00D02083" w:rsidRPr="00C02276" w14:paraId="1436B0EE" w14:textId="77777777" w:rsidTr="001F7776">
        <w:tc>
          <w:tcPr>
            <w:tcW w:w="1654" w:type="dxa"/>
            <w:shd w:val="clear" w:color="auto" w:fill="F2F2F2" w:themeFill="background1" w:themeFillShade="F2"/>
            <w:tcMar>
              <w:top w:w="58" w:type="dxa"/>
              <w:left w:w="15" w:type="dxa"/>
              <w:bottom w:w="58" w:type="dxa"/>
              <w:right w:w="15" w:type="dxa"/>
            </w:tcMar>
            <w:vAlign w:val="center"/>
            <w:hideMark/>
          </w:tcPr>
          <w:p w14:paraId="0C1747ED" w14:textId="77777777" w:rsidR="00D02083" w:rsidRPr="00756793" w:rsidRDefault="00D02083" w:rsidP="001F7776">
            <w:pPr>
              <w:spacing w:after="0" w:line="240" w:lineRule="auto"/>
              <w:rPr>
                <w:rFonts w:ascii="Arial" w:hAnsi="Arial" w:cs="Arial"/>
                <w:sz w:val="20"/>
                <w:szCs w:val="20"/>
              </w:rPr>
            </w:pPr>
            <w:r w:rsidRPr="00756793">
              <w:rPr>
                <w:rFonts w:ascii="Arial" w:hAnsi="Arial" w:cs="Arial"/>
                <w:sz w:val="20"/>
                <w:szCs w:val="20"/>
              </w:rPr>
              <w:t>Ovarian</w:t>
            </w:r>
          </w:p>
        </w:tc>
        <w:tc>
          <w:tcPr>
            <w:tcW w:w="1880" w:type="dxa"/>
            <w:shd w:val="clear" w:color="auto" w:fill="F2F2F2" w:themeFill="background1" w:themeFillShade="F2"/>
            <w:tcMar>
              <w:top w:w="58" w:type="dxa"/>
              <w:left w:w="15" w:type="dxa"/>
              <w:bottom w:w="58" w:type="dxa"/>
              <w:right w:w="15" w:type="dxa"/>
            </w:tcMar>
            <w:vAlign w:val="center"/>
            <w:hideMark/>
          </w:tcPr>
          <w:p w14:paraId="742EF383"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1.85%</w:t>
            </w:r>
          </w:p>
        </w:tc>
        <w:tc>
          <w:tcPr>
            <w:tcW w:w="1882" w:type="dxa"/>
            <w:gridSpan w:val="2"/>
            <w:shd w:val="clear" w:color="auto" w:fill="F2F2F2" w:themeFill="background1" w:themeFillShade="F2"/>
            <w:tcMar>
              <w:top w:w="58" w:type="dxa"/>
              <w:left w:w="15" w:type="dxa"/>
              <w:bottom w:w="58" w:type="dxa"/>
              <w:right w:w="15" w:type="dxa"/>
            </w:tcMar>
            <w:vAlign w:val="center"/>
            <w:hideMark/>
          </w:tcPr>
          <w:p w14:paraId="4840CD12"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197</w:t>
            </w:r>
          </w:p>
        </w:tc>
        <w:tc>
          <w:tcPr>
            <w:tcW w:w="1882" w:type="dxa"/>
            <w:shd w:val="clear" w:color="auto" w:fill="F2F2F2" w:themeFill="background1" w:themeFillShade="F2"/>
            <w:vAlign w:val="center"/>
          </w:tcPr>
          <w:p w14:paraId="7907F557"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0.92%</w:t>
            </w:r>
          </w:p>
        </w:tc>
        <w:tc>
          <w:tcPr>
            <w:tcW w:w="1882" w:type="dxa"/>
            <w:shd w:val="clear" w:color="auto" w:fill="F2F2F2" w:themeFill="background1" w:themeFillShade="F2"/>
            <w:vAlign w:val="center"/>
          </w:tcPr>
          <w:p w14:paraId="415C0796"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98</w:t>
            </w:r>
          </w:p>
        </w:tc>
        <w:tc>
          <w:tcPr>
            <w:tcW w:w="1882" w:type="dxa"/>
            <w:shd w:val="clear" w:color="auto" w:fill="F2F2F2" w:themeFill="background1" w:themeFillShade="F2"/>
            <w:vAlign w:val="center"/>
          </w:tcPr>
          <w:p w14:paraId="029BDE70"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2.77%</w:t>
            </w:r>
          </w:p>
        </w:tc>
        <w:tc>
          <w:tcPr>
            <w:tcW w:w="1898" w:type="dxa"/>
            <w:gridSpan w:val="2"/>
            <w:shd w:val="clear" w:color="auto" w:fill="F2F2F2" w:themeFill="background1" w:themeFillShade="F2"/>
            <w:vAlign w:val="center"/>
          </w:tcPr>
          <w:p w14:paraId="30B1131B"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295</w:t>
            </w:r>
          </w:p>
        </w:tc>
      </w:tr>
      <w:tr w:rsidR="00D02083" w:rsidRPr="00C02276" w14:paraId="6E6BC704" w14:textId="77777777" w:rsidTr="001F7776">
        <w:tc>
          <w:tcPr>
            <w:tcW w:w="1654" w:type="dxa"/>
            <w:shd w:val="clear" w:color="auto" w:fill="FFFFFF" w:themeFill="background1"/>
            <w:tcMar>
              <w:top w:w="58" w:type="dxa"/>
              <w:left w:w="15" w:type="dxa"/>
              <w:bottom w:w="58" w:type="dxa"/>
              <w:right w:w="15" w:type="dxa"/>
            </w:tcMar>
            <w:vAlign w:val="center"/>
            <w:hideMark/>
          </w:tcPr>
          <w:p w14:paraId="112E54D5" w14:textId="77777777" w:rsidR="00D02083" w:rsidRPr="00756793" w:rsidRDefault="00D02083" w:rsidP="001F7776">
            <w:pPr>
              <w:spacing w:after="0" w:line="240" w:lineRule="auto"/>
              <w:rPr>
                <w:rFonts w:ascii="Arial" w:hAnsi="Arial" w:cs="Arial"/>
                <w:sz w:val="20"/>
                <w:szCs w:val="20"/>
              </w:rPr>
            </w:pPr>
            <w:r w:rsidRPr="00756793">
              <w:rPr>
                <w:rFonts w:ascii="Arial" w:hAnsi="Arial" w:cs="Arial"/>
                <w:sz w:val="20"/>
                <w:szCs w:val="20"/>
              </w:rPr>
              <w:t>Kidney</w:t>
            </w:r>
          </w:p>
        </w:tc>
        <w:tc>
          <w:tcPr>
            <w:tcW w:w="1880" w:type="dxa"/>
            <w:shd w:val="clear" w:color="auto" w:fill="FFFFFF" w:themeFill="background1"/>
            <w:tcMar>
              <w:top w:w="58" w:type="dxa"/>
              <w:left w:w="15" w:type="dxa"/>
              <w:bottom w:w="58" w:type="dxa"/>
              <w:right w:w="15" w:type="dxa"/>
            </w:tcMar>
            <w:vAlign w:val="center"/>
            <w:hideMark/>
          </w:tcPr>
          <w:p w14:paraId="397935F6"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1.51%</w:t>
            </w:r>
          </w:p>
        </w:tc>
        <w:tc>
          <w:tcPr>
            <w:tcW w:w="1882" w:type="dxa"/>
            <w:gridSpan w:val="2"/>
            <w:shd w:val="clear" w:color="auto" w:fill="FFFFFF" w:themeFill="background1"/>
            <w:tcMar>
              <w:top w:w="58" w:type="dxa"/>
              <w:left w:w="15" w:type="dxa"/>
              <w:bottom w:w="58" w:type="dxa"/>
              <w:right w:w="15" w:type="dxa"/>
            </w:tcMar>
            <w:vAlign w:val="center"/>
            <w:hideMark/>
          </w:tcPr>
          <w:p w14:paraId="7A17FC40"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318</w:t>
            </w:r>
          </w:p>
        </w:tc>
        <w:tc>
          <w:tcPr>
            <w:tcW w:w="1882" w:type="dxa"/>
            <w:shd w:val="clear" w:color="auto" w:fill="FFFFFF" w:themeFill="background1"/>
            <w:vAlign w:val="center"/>
          </w:tcPr>
          <w:p w14:paraId="053513F2"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w:t>
            </w:r>
          </w:p>
        </w:tc>
        <w:tc>
          <w:tcPr>
            <w:tcW w:w="1882" w:type="dxa"/>
            <w:shd w:val="clear" w:color="auto" w:fill="FFFFFF" w:themeFill="background1"/>
            <w:vAlign w:val="center"/>
          </w:tcPr>
          <w:p w14:paraId="604AE595"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w:t>
            </w:r>
          </w:p>
        </w:tc>
        <w:tc>
          <w:tcPr>
            <w:tcW w:w="1882" w:type="dxa"/>
            <w:shd w:val="clear" w:color="auto" w:fill="FFFFFF" w:themeFill="background1"/>
            <w:vAlign w:val="center"/>
          </w:tcPr>
          <w:p w14:paraId="34566796"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w:t>
            </w:r>
          </w:p>
        </w:tc>
        <w:tc>
          <w:tcPr>
            <w:tcW w:w="1898" w:type="dxa"/>
            <w:gridSpan w:val="2"/>
            <w:shd w:val="clear" w:color="auto" w:fill="FFFFFF" w:themeFill="background1"/>
            <w:vAlign w:val="center"/>
          </w:tcPr>
          <w:p w14:paraId="71D0B2E4"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w:t>
            </w:r>
          </w:p>
        </w:tc>
      </w:tr>
      <w:tr w:rsidR="00D02083" w:rsidRPr="00C02276" w14:paraId="129B626B" w14:textId="77777777" w:rsidTr="001F7776">
        <w:tc>
          <w:tcPr>
            <w:tcW w:w="1654" w:type="dxa"/>
            <w:shd w:val="clear" w:color="auto" w:fill="F2F2F2" w:themeFill="background1" w:themeFillShade="F2"/>
            <w:tcMar>
              <w:top w:w="58" w:type="dxa"/>
              <w:left w:w="15" w:type="dxa"/>
              <w:bottom w:w="58" w:type="dxa"/>
              <w:right w:w="15" w:type="dxa"/>
            </w:tcMar>
            <w:vAlign w:val="center"/>
            <w:hideMark/>
          </w:tcPr>
          <w:p w14:paraId="37BEDDC3" w14:textId="77777777" w:rsidR="00D02083" w:rsidRPr="00756793" w:rsidRDefault="00D02083" w:rsidP="001F7776">
            <w:pPr>
              <w:spacing w:after="0" w:line="240" w:lineRule="auto"/>
              <w:rPr>
                <w:rFonts w:ascii="Arial" w:hAnsi="Arial" w:cs="Arial"/>
                <w:sz w:val="20"/>
                <w:szCs w:val="20"/>
              </w:rPr>
            </w:pPr>
            <w:r w:rsidRPr="00756793">
              <w:rPr>
                <w:rFonts w:ascii="Arial" w:hAnsi="Arial" w:cs="Arial"/>
                <w:sz w:val="20"/>
                <w:szCs w:val="20"/>
              </w:rPr>
              <w:t>Soft tissue sarcoma</w:t>
            </w:r>
          </w:p>
        </w:tc>
        <w:tc>
          <w:tcPr>
            <w:tcW w:w="1880" w:type="dxa"/>
            <w:shd w:val="clear" w:color="auto" w:fill="F2F2F2" w:themeFill="background1" w:themeFillShade="F2"/>
            <w:tcMar>
              <w:top w:w="58" w:type="dxa"/>
              <w:left w:w="15" w:type="dxa"/>
              <w:bottom w:w="58" w:type="dxa"/>
              <w:right w:w="15" w:type="dxa"/>
            </w:tcMar>
            <w:vAlign w:val="center"/>
            <w:hideMark/>
          </w:tcPr>
          <w:p w14:paraId="304E5EAD"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1.28%</w:t>
            </w:r>
          </w:p>
        </w:tc>
        <w:tc>
          <w:tcPr>
            <w:tcW w:w="1882" w:type="dxa"/>
            <w:gridSpan w:val="2"/>
            <w:shd w:val="clear" w:color="auto" w:fill="F2F2F2" w:themeFill="background1" w:themeFillShade="F2"/>
            <w:tcMar>
              <w:top w:w="58" w:type="dxa"/>
              <w:left w:w="15" w:type="dxa"/>
              <w:bottom w:w="58" w:type="dxa"/>
              <w:right w:w="15" w:type="dxa"/>
            </w:tcMar>
            <w:vAlign w:val="center"/>
            <w:hideMark/>
          </w:tcPr>
          <w:p w14:paraId="4992EEB6"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41</w:t>
            </w:r>
          </w:p>
        </w:tc>
        <w:tc>
          <w:tcPr>
            <w:tcW w:w="1882" w:type="dxa"/>
            <w:shd w:val="clear" w:color="auto" w:fill="F2F2F2" w:themeFill="background1" w:themeFillShade="F2"/>
            <w:vAlign w:val="center"/>
          </w:tcPr>
          <w:p w14:paraId="24DC8A1F"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1.71%</w:t>
            </w:r>
          </w:p>
        </w:tc>
        <w:tc>
          <w:tcPr>
            <w:tcW w:w="1882" w:type="dxa"/>
            <w:shd w:val="clear" w:color="auto" w:fill="F2F2F2" w:themeFill="background1" w:themeFillShade="F2"/>
            <w:vAlign w:val="center"/>
          </w:tcPr>
          <w:p w14:paraId="3BAB7E1C"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55</w:t>
            </w:r>
          </w:p>
        </w:tc>
        <w:tc>
          <w:tcPr>
            <w:tcW w:w="1882" w:type="dxa"/>
            <w:shd w:val="clear" w:color="auto" w:fill="F2F2F2" w:themeFill="background1" w:themeFillShade="F2"/>
            <w:vAlign w:val="center"/>
          </w:tcPr>
          <w:p w14:paraId="3D11D083"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2.99%</w:t>
            </w:r>
          </w:p>
        </w:tc>
        <w:tc>
          <w:tcPr>
            <w:tcW w:w="1898" w:type="dxa"/>
            <w:gridSpan w:val="2"/>
            <w:shd w:val="clear" w:color="auto" w:fill="F2F2F2" w:themeFill="background1" w:themeFillShade="F2"/>
            <w:vAlign w:val="center"/>
          </w:tcPr>
          <w:p w14:paraId="6F791158"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96</w:t>
            </w:r>
          </w:p>
        </w:tc>
      </w:tr>
      <w:tr w:rsidR="00D02083" w:rsidRPr="00C02276" w14:paraId="68924A28" w14:textId="77777777" w:rsidTr="001F7776">
        <w:tc>
          <w:tcPr>
            <w:tcW w:w="1654" w:type="dxa"/>
            <w:shd w:val="clear" w:color="auto" w:fill="FFFFFF" w:themeFill="background1"/>
            <w:tcMar>
              <w:top w:w="58" w:type="dxa"/>
              <w:left w:w="15" w:type="dxa"/>
              <w:bottom w:w="58" w:type="dxa"/>
              <w:right w:w="15" w:type="dxa"/>
            </w:tcMar>
            <w:vAlign w:val="center"/>
            <w:hideMark/>
          </w:tcPr>
          <w:p w14:paraId="6E1B69AD" w14:textId="77777777" w:rsidR="00D02083" w:rsidRPr="00756793" w:rsidRDefault="00D02083" w:rsidP="001F7776">
            <w:pPr>
              <w:spacing w:after="0" w:line="240" w:lineRule="auto"/>
              <w:rPr>
                <w:rFonts w:ascii="Arial" w:hAnsi="Arial" w:cs="Arial"/>
                <w:sz w:val="20"/>
                <w:szCs w:val="20"/>
              </w:rPr>
            </w:pPr>
            <w:r w:rsidRPr="00756793">
              <w:rPr>
                <w:rFonts w:ascii="Arial" w:hAnsi="Arial" w:cs="Arial"/>
                <w:sz w:val="20"/>
                <w:szCs w:val="20"/>
              </w:rPr>
              <w:t>Hepatobiliary</w:t>
            </w:r>
          </w:p>
        </w:tc>
        <w:tc>
          <w:tcPr>
            <w:tcW w:w="1880" w:type="dxa"/>
            <w:shd w:val="clear" w:color="auto" w:fill="FFFFFF" w:themeFill="background1"/>
            <w:tcMar>
              <w:top w:w="58" w:type="dxa"/>
              <w:left w:w="15" w:type="dxa"/>
              <w:bottom w:w="58" w:type="dxa"/>
              <w:right w:w="15" w:type="dxa"/>
            </w:tcMar>
            <w:vAlign w:val="center"/>
            <w:hideMark/>
          </w:tcPr>
          <w:p w14:paraId="2CB204A4"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1.27%</w:t>
            </w:r>
          </w:p>
        </w:tc>
        <w:tc>
          <w:tcPr>
            <w:tcW w:w="1882" w:type="dxa"/>
            <w:gridSpan w:val="2"/>
            <w:shd w:val="clear" w:color="auto" w:fill="FFFFFF" w:themeFill="background1"/>
            <w:tcMar>
              <w:top w:w="58" w:type="dxa"/>
              <w:left w:w="15" w:type="dxa"/>
              <w:bottom w:w="58" w:type="dxa"/>
              <w:right w:w="15" w:type="dxa"/>
            </w:tcMar>
            <w:vAlign w:val="center"/>
            <w:hideMark/>
          </w:tcPr>
          <w:p w14:paraId="4468C58B"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445</w:t>
            </w:r>
          </w:p>
        </w:tc>
        <w:tc>
          <w:tcPr>
            <w:tcW w:w="1882" w:type="dxa"/>
            <w:shd w:val="clear" w:color="auto" w:fill="FFFFFF" w:themeFill="background1"/>
            <w:vAlign w:val="center"/>
          </w:tcPr>
          <w:p w14:paraId="026F47A8"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3.31%</w:t>
            </w:r>
          </w:p>
        </w:tc>
        <w:tc>
          <w:tcPr>
            <w:tcW w:w="1882" w:type="dxa"/>
            <w:shd w:val="clear" w:color="auto" w:fill="FFFFFF" w:themeFill="background1"/>
            <w:vAlign w:val="center"/>
          </w:tcPr>
          <w:p w14:paraId="021CA990"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1157</w:t>
            </w:r>
          </w:p>
        </w:tc>
        <w:tc>
          <w:tcPr>
            <w:tcW w:w="1882" w:type="dxa"/>
            <w:shd w:val="clear" w:color="auto" w:fill="FFFFFF" w:themeFill="background1"/>
            <w:vAlign w:val="center"/>
          </w:tcPr>
          <w:p w14:paraId="20A1AF44"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4.58%</w:t>
            </w:r>
          </w:p>
        </w:tc>
        <w:tc>
          <w:tcPr>
            <w:tcW w:w="1898" w:type="dxa"/>
            <w:gridSpan w:val="2"/>
            <w:shd w:val="clear" w:color="auto" w:fill="FFFFFF" w:themeFill="background1"/>
            <w:vAlign w:val="center"/>
          </w:tcPr>
          <w:p w14:paraId="75CD85C8"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1602</w:t>
            </w:r>
          </w:p>
        </w:tc>
      </w:tr>
      <w:tr w:rsidR="00D02083" w:rsidRPr="00C02276" w14:paraId="1E5C1BE7" w14:textId="77777777" w:rsidTr="001F7776">
        <w:tc>
          <w:tcPr>
            <w:tcW w:w="1654" w:type="dxa"/>
            <w:shd w:val="clear" w:color="auto" w:fill="F2F2F2" w:themeFill="background1" w:themeFillShade="F2"/>
            <w:tcMar>
              <w:top w:w="58" w:type="dxa"/>
              <w:left w:w="15" w:type="dxa"/>
              <w:bottom w:w="58" w:type="dxa"/>
              <w:right w:w="15" w:type="dxa"/>
            </w:tcMar>
            <w:vAlign w:val="center"/>
            <w:hideMark/>
          </w:tcPr>
          <w:p w14:paraId="4F33CE27" w14:textId="77777777" w:rsidR="00D02083" w:rsidRPr="00756793" w:rsidRDefault="00D02083" w:rsidP="001F7776">
            <w:pPr>
              <w:spacing w:after="0" w:line="240" w:lineRule="auto"/>
              <w:rPr>
                <w:rFonts w:ascii="Arial" w:hAnsi="Arial" w:cs="Arial"/>
                <w:sz w:val="20"/>
                <w:szCs w:val="20"/>
              </w:rPr>
            </w:pPr>
            <w:r w:rsidRPr="00756793">
              <w:rPr>
                <w:rFonts w:ascii="Arial" w:hAnsi="Arial" w:cs="Arial"/>
                <w:sz w:val="20"/>
                <w:szCs w:val="20"/>
              </w:rPr>
              <w:t>Melanoma</w:t>
            </w:r>
          </w:p>
        </w:tc>
        <w:tc>
          <w:tcPr>
            <w:tcW w:w="1880" w:type="dxa"/>
            <w:shd w:val="clear" w:color="auto" w:fill="F2F2F2" w:themeFill="background1" w:themeFillShade="F2"/>
            <w:tcMar>
              <w:top w:w="58" w:type="dxa"/>
              <w:left w:w="15" w:type="dxa"/>
              <w:bottom w:w="58" w:type="dxa"/>
              <w:right w:w="15" w:type="dxa"/>
            </w:tcMar>
            <w:vAlign w:val="center"/>
            <w:hideMark/>
          </w:tcPr>
          <w:p w14:paraId="11787E0B"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1.14%</w:t>
            </w:r>
          </w:p>
        </w:tc>
        <w:tc>
          <w:tcPr>
            <w:tcW w:w="1882" w:type="dxa"/>
            <w:gridSpan w:val="2"/>
            <w:shd w:val="clear" w:color="auto" w:fill="F2F2F2" w:themeFill="background1" w:themeFillShade="F2"/>
            <w:tcMar>
              <w:top w:w="58" w:type="dxa"/>
              <w:left w:w="15" w:type="dxa"/>
              <w:bottom w:w="58" w:type="dxa"/>
              <w:right w:w="15" w:type="dxa"/>
            </w:tcMar>
            <w:vAlign w:val="center"/>
            <w:hideMark/>
          </w:tcPr>
          <w:p w14:paraId="56883799"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197</w:t>
            </w:r>
          </w:p>
        </w:tc>
        <w:tc>
          <w:tcPr>
            <w:tcW w:w="1882" w:type="dxa"/>
            <w:shd w:val="clear" w:color="auto" w:fill="F2F2F2" w:themeFill="background1" w:themeFillShade="F2"/>
            <w:vAlign w:val="center"/>
          </w:tcPr>
          <w:p w14:paraId="42C9CCFC"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0.68%</w:t>
            </w:r>
          </w:p>
        </w:tc>
        <w:tc>
          <w:tcPr>
            <w:tcW w:w="1882" w:type="dxa"/>
            <w:shd w:val="clear" w:color="auto" w:fill="F2F2F2" w:themeFill="background1" w:themeFillShade="F2"/>
            <w:vAlign w:val="center"/>
          </w:tcPr>
          <w:p w14:paraId="52C9C8AC"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118</w:t>
            </w:r>
          </w:p>
        </w:tc>
        <w:tc>
          <w:tcPr>
            <w:tcW w:w="1882" w:type="dxa"/>
            <w:shd w:val="clear" w:color="auto" w:fill="F2F2F2" w:themeFill="background1" w:themeFillShade="F2"/>
            <w:vAlign w:val="center"/>
          </w:tcPr>
          <w:p w14:paraId="22244242"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1.82%</w:t>
            </w:r>
          </w:p>
        </w:tc>
        <w:tc>
          <w:tcPr>
            <w:tcW w:w="1898" w:type="dxa"/>
            <w:gridSpan w:val="2"/>
            <w:shd w:val="clear" w:color="auto" w:fill="F2F2F2" w:themeFill="background1" w:themeFillShade="F2"/>
            <w:vAlign w:val="center"/>
          </w:tcPr>
          <w:p w14:paraId="640E944C"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315</w:t>
            </w:r>
          </w:p>
        </w:tc>
      </w:tr>
      <w:tr w:rsidR="00D02083" w:rsidRPr="00C02276" w14:paraId="3721BC08" w14:textId="77777777" w:rsidTr="001F7776">
        <w:tc>
          <w:tcPr>
            <w:tcW w:w="1654" w:type="dxa"/>
            <w:shd w:val="clear" w:color="auto" w:fill="FFFFFF" w:themeFill="background1"/>
            <w:tcMar>
              <w:top w:w="58" w:type="dxa"/>
              <w:left w:w="15" w:type="dxa"/>
              <w:bottom w:w="58" w:type="dxa"/>
              <w:right w:w="15" w:type="dxa"/>
            </w:tcMar>
            <w:vAlign w:val="center"/>
            <w:hideMark/>
          </w:tcPr>
          <w:p w14:paraId="4EA71CCC" w14:textId="77777777" w:rsidR="00D02083" w:rsidRPr="00756793" w:rsidRDefault="00D02083" w:rsidP="001F7776">
            <w:pPr>
              <w:spacing w:after="0" w:line="240" w:lineRule="auto"/>
              <w:rPr>
                <w:rFonts w:ascii="Arial" w:hAnsi="Arial" w:cs="Arial"/>
                <w:sz w:val="20"/>
                <w:szCs w:val="20"/>
              </w:rPr>
            </w:pPr>
            <w:r w:rsidRPr="00756793">
              <w:rPr>
                <w:rFonts w:ascii="Arial" w:hAnsi="Arial" w:cs="Arial"/>
                <w:sz w:val="20"/>
                <w:szCs w:val="20"/>
              </w:rPr>
              <w:t>CRC</w:t>
            </w:r>
          </w:p>
        </w:tc>
        <w:tc>
          <w:tcPr>
            <w:tcW w:w="1880" w:type="dxa"/>
            <w:shd w:val="clear" w:color="auto" w:fill="FFFFFF" w:themeFill="background1"/>
            <w:tcMar>
              <w:top w:w="58" w:type="dxa"/>
              <w:left w:w="15" w:type="dxa"/>
              <w:bottom w:w="58" w:type="dxa"/>
              <w:right w:w="15" w:type="dxa"/>
            </w:tcMar>
            <w:vAlign w:val="center"/>
            <w:hideMark/>
          </w:tcPr>
          <w:p w14:paraId="7C089A91"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0.99%</w:t>
            </w:r>
          </w:p>
        </w:tc>
        <w:tc>
          <w:tcPr>
            <w:tcW w:w="1882" w:type="dxa"/>
            <w:gridSpan w:val="2"/>
            <w:shd w:val="clear" w:color="auto" w:fill="FFFFFF" w:themeFill="background1"/>
            <w:tcMar>
              <w:top w:w="58" w:type="dxa"/>
              <w:left w:w="15" w:type="dxa"/>
              <w:bottom w:w="58" w:type="dxa"/>
              <w:right w:w="15" w:type="dxa"/>
            </w:tcMar>
            <w:vAlign w:val="center"/>
            <w:hideMark/>
          </w:tcPr>
          <w:p w14:paraId="711EB26C"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157</w:t>
            </w:r>
          </w:p>
        </w:tc>
        <w:tc>
          <w:tcPr>
            <w:tcW w:w="1882" w:type="dxa"/>
            <w:shd w:val="clear" w:color="auto" w:fill="FFFFFF" w:themeFill="background1"/>
            <w:vAlign w:val="center"/>
          </w:tcPr>
          <w:p w14:paraId="41AFBBEA" w14:textId="77777777" w:rsidR="00D02083" w:rsidRPr="00756793" w:rsidRDefault="00D02083" w:rsidP="001F7776">
            <w:pPr>
              <w:spacing w:after="0" w:line="240" w:lineRule="auto"/>
              <w:jc w:val="center"/>
              <w:rPr>
                <w:rFonts w:ascii="Arial" w:hAnsi="Arial" w:cs="Arial"/>
                <w:sz w:val="20"/>
                <w:szCs w:val="20"/>
              </w:rPr>
            </w:pPr>
            <w:r>
              <w:rPr>
                <w:rFonts w:ascii="Arial" w:hAnsi="Arial" w:cs="Arial"/>
                <w:sz w:val="20"/>
                <w:szCs w:val="20"/>
              </w:rPr>
              <w:t>0.39%</w:t>
            </w:r>
          </w:p>
        </w:tc>
        <w:tc>
          <w:tcPr>
            <w:tcW w:w="1882" w:type="dxa"/>
            <w:shd w:val="clear" w:color="auto" w:fill="FFFFFF" w:themeFill="background1"/>
            <w:vAlign w:val="center"/>
          </w:tcPr>
          <w:p w14:paraId="0DC8E264" w14:textId="77777777" w:rsidR="00D02083" w:rsidRPr="00756793" w:rsidRDefault="00D02083" w:rsidP="001F7776">
            <w:pPr>
              <w:spacing w:after="0" w:line="240" w:lineRule="auto"/>
              <w:jc w:val="center"/>
              <w:rPr>
                <w:rFonts w:ascii="Arial" w:hAnsi="Arial" w:cs="Arial"/>
                <w:sz w:val="20"/>
                <w:szCs w:val="20"/>
              </w:rPr>
            </w:pPr>
            <w:r>
              <w:rPr>
                <w:rFonts w:ascii="Arial" w:hAnsi="Arial" w:cs="Arial"/>
                <w:sz w:val="20"/>
                <w:szCs w:val="20"/>
              </w:rPr>
              <w:t>63</w:t>
            </w:r>
          </w:p>
        </w:tc>
        <w:tc>
          <w:tcPr>
            <w:tcW w:w="1882" w:type="dxa"/>
            <w:shd w:val="clear" w:color="auto" w:fill="FFFFFF" w:themeFill="background1"/>
            <w:vAlign w:val="center"/>
          </w:tcPr>
          <w:p w14:paraId="6EA1DCC2" w14:textId="77777777" w:rsidR="00D02083" w:rsidRPr="00756793" w:rsidRDefault="00D02083" w:rsidP="001F7776">
            <w:pPr>
              <w:spacing w:after="0" w:line="240" w:lineRule="auto"/>
              <w:jc w:val="center"/>
              <w:rPr>
                <w:rFonts w:ascii="Arial" w:hAnsi="Arial" w:cs="Arial"/>
                <w:sz w:val="20"/>
                <w:szCs w:val="20"/>
              </w:rPr>
            </w:pPr>
            <w:r>
              <w:rPr>
                <w:rFonts w:ascii="Arial" w:hAnsi="Arial" w:cs="Arial"/>
                <w:sz w:val="20"/>
                <w:szCs w:val="20"/>
              </w:rPr>
              <w:t>1.38%</w:t>
            </w:r>
          </w:p>
        </w:tc>
        <w:tc>
          <w:tcPr>
            <w:tcW w:w="1898" w:type="dxa"/>
            <w:gridSpan w:val="2"/>
            <w:shd w:val="clear" w:color="auto" w:fill="FFFFFF" w:themeFill="background1"/>
            <w:vAlign w:val="center"/>
          </w:tcPr>
          <w:p w14:paraId="529EF4CA" w14:textId="77777777" w:rsidR="00D02083" w:rsidRPr="00756793" w:rsidRDefault="00D02083" w:rsidP="001F7776">
            <w:pPr>
              <w:spacing w:after="0" w:line="240" w:lineRule="auto"/>
              <w:jc w:val="center"/>
              <w:rPr>
                <w:rFonts w:ascii="Arial" w:hAnsi="Arial" w:cs="Arial"/>
                <w:sz w:val="20"/>
                <w:szCs w:val="20"/>
              </w:rPr>
            </w:pPr>
            <w:r>
              <w:rPr>
                <w:rFonts w:ascii="Arial" w:hAnsi="Arial" w:cs="Arial"/>
                <w:sz w:val="20"/>
                <w:szCs w:val="20"/>
              </w:rPr>
              <w:t>220</w:t>
            </w:r>
          </w:p>
        </w:tc>
      </w:tr>
      <w:tr w:rsidR="00D02083" w:rsidRPr="00C02276" w14:paraId="39F976AE" w14:textId="77777777" w:rsidTr="001F7776">
        <w:tc>
          <w:tcPr>
            <w:tcW w:w="1654" w:type="dxa"/>
            <w:shd w:val="clear" w:color="auto" w:fill="F2F2F2" w:themeFill="background1" w:themeFillShade="F2"/>
            <w:tcMar>
              <w:top w:w="58" w:type="dxa"/>
              <w:left w:w="15" w:type="dxa"/>
              <w:bottom w:w="58" w:type="dxa"/>
              <w:right w:w="15" w:type="dxa"/>
            </w:tcMar>
            <w:vAlign w:val="center"/>
            <w:hideMark/>
          </w:tcPr>
          <w:p w14:paraId="24373FCC" w14:textId="77777777" w:rsidR="00D02083" w:rsidRPr="00756793" w:rsidRDefault="00D02083" w:rsidP="001F7776">
            <w:pPr>
              <w:spacing w:after="0" w:line="240" w:lineRule="auto"/>
              <w:rPr>
                <w:rFonts w:ascii="Arial" w:hAnsi="Arial" w:cs="Arial"/>
                <w:sz w:val="20"/>
                <w:szCs w:val="20"/>
              </w:rPr>
            </w:pPr>
            <w:r w:rsidRPr="00756793">
              <w:rPr>
                <w:rFonts w:ascii="Arial" w:hAnsi="Arial" w:cs="Arial"/>
                <w:sz w:val="20"/>
                <w:szCs w:val="20"/>
              </w:rPr>
              <w:t>Thyroid</w:t>
            </w:r>
          </w:p>
        </w:tc>
        <w:tc>
          <w:tcPr>
            <w:tcW w:w="1880" w:type="dxa"/>
            <w:shd w:val="clear" w:color="auto" w:fill="F2F2F2" w:themeFill="background1" w:themeFillShade="F2"/>
            <w:tcMar>
              <w:top w:w="58" w:type="dxa"/>
              <w:left w:w="15" w:type="dxa"/>
              <w:bottom w:w="58" w:type="dxa"/>
              <w:right w:w="15" w:type="dxa"/>
            </w:tcMar>
            <w:vAlign w:val="center"/>
            <w:hideMark/>
          </w:tcPr>
          <w:p w14:paraId="7697341F"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0.83%</w:t>
            </w:r>
          </w:p>
        </w:tc>
        <w:tc>
          <w:tcPr>
            <w:tcW w:w="1882" w:type="dxa"/>
            <w:gridSpan w:val="2"/>
            <w:shd w:val="clear" w:color="auto" w:fill="F2F2F2" w:themeFill="background1" w:themeFillShade="F2"/>
            <w:tcMar>
              <w:top w:w="58" w:type="dxa"/>
              <w:left w:w="15" w:type="dxa"/>
              <w:bottom w:w="58" w:type="dxa"/>
              <w:right w:w="15" w:type="dxa"/>
            </w:tcMar>
            <w:vAlign w:val="center"/>
            <w:hideMark/>
          </w:tcPr>
          <w:p w14:paraId="21B78040"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170</w:t>
            </w:r>
          </w:p>
        </w:tc>
        <w:tc>
          <w:tcPr>
            <w:tcW w:w="1882" w:type="dxa"/>
            <w:shd w:val="clear" w:color="auto" w:fill="F2F2F2" w:themeFill="background1" w:themeFillShade="F2"/>
            <w:vAlign w:val="center"/>
          </w:tcPr>
          <w:p w14:paraId="17BFDBD0"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w:t>
            </w:r>
          </w:p>
        </w:tc>
        <w:tc>
          <w:tcPr>
            <w:tcW w:w="1882" w:type="dxa"/>
            <w:shd w:val="clear" w:color="auto" w:fill="F2F2F2" w:themeFill="background1" w:themeFillShade="F2"/>
            <w:vAlign w:val="center"/>
          </w:tcPr>
          <w:p w14:paraId="366075C2"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w:t>
            </w:r>
          </w:p>
        </w:tc>
        <w:tc>
          <w:tcPr>
            <w:tcW w:w="1882" w:type="dxa"/>
            <w:shd w:val="clear" w:color="auto" w:fill="F2F2F2" w:themeFill="background1" w:themeFillShade="F2"/>
            <w:vAlign w:val="center"/>
          </w:tcPr>
          <w:p w14:paraId="2D9259FC"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w:t>
            </w:r>
          </w:p>
        </w:tc>
        <w:tc>
          <w:tcPr>
            <w:tcW w:w="1898" w:type="dxa"/>
            <w:gridSpan w:val="2"/>
            <w:shd w:val="clear" w:color="auto" w:fill="F2F2F2" w:themeFill="background1" w:themeFillShade="F2"/>
            <w:vAlign w:val="center"/>
          </w:tcPr>
          <w:p w14:paraId="6292EF76"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w:t>
            </w:r>
          </w:p>
        </w:tc>
      </w:tr>
      <w:tr w:rsidR="00D02083" w:rsidRPr="00C02276" w14:paraId="5C1AA0AD" w14:textId="77777777" w:rsidTr="001F7776">
        <w:tc>
          <w:tcPr>
            <w:tcW w:w="1654" w:type="dxa"/>
            <w:shd w:val="clear" w:color="auto" w:fill="FFFFFF" w:themeFill="background1"/>
            <w:tcMar>
              <w:top w:w="58" w:type="dxa"/>
              <w:left w:w="15" w:type="dxa"/>
              <w:bottom w:w="58" w:type="dxa"/>
              <w:right w:w="15" w:type="dxa"/>
            </w:tcMar>
            <w:vAlign w:val="center"/>
            <w:hideMark/>
          </w:tcPr>
          <w:p w14:paraId="324AD1DF" w14:textId="77777777" w:rsidR="00D02083" w:rsidRPr="00756793" w:rsidRDefault="00D02083" w:rsidP="001F7776">
            <w:pPr>
              <w:spacing w:after="0" w:line="240" w:lineRule="auto"/>
              <w:rPr>
                <w:rFonts w:ascii="Arial" w:hAnsi="Arial" w:cs="Arial"/>
                <w:sz w:val="20"/>
                <w:szCs w:val="20"/>
              </w:rPr>
            </w:pPr>
            <w:r w:rsidRPr="00756793">
              <w:rPr>
                <w:rFonts w:ascii="Arial" w:hAnsi="Arial" w:cs="Arial"/>
                <w:sz w:val="20"/>
                <w:szCs w:val="20"/>
              </w:rPr>
              <w:t>NSCLC</w:t>
            </w:r>
          </w:p>
        </w:tc>
        <w:tc>
          <w:tcPr>
            <w:tcW w:w="1880" w:type="dxa"/>
            <w:shd w:val="clear" w:color="auto" w:fill="FFFFFF" w:themeFill="background1"/>
            <w:tcMar>
              <w:top w:w="58" w:type="dxa"/>
              <w:left w:w="15" w:type="dxa"/>
              <w:bottom w:w="58" w:type="dxa"/>
              <w:right w:w="15" w:type="dxa"/>
            </w:tcMar>
            <w:vAlign w:val="center"/>
            <w:hideMark/>
          </w:tcPr>
          <w:p w14:paraId="7B62179F"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0.77%</w:t>
            </w:r>
          </w:p>
        </w:tc>
        <w:tc>
          <w:tcPr>
            <w:tcW w:w="1882" w:type="dxa"/>
            <w:gridSpan w:val="2"/>
            <w:shd w:val="clear" w:color="auto" w:fill="FFFFFF" w:themeFill="background1"/>
            <w:tcMar>
              <w:top w:w="58" w:type="dxa"/>
              <w:left w:w="15" w:type="dxa"/>
              <w:bottom w:w="58" w:type="dxa"/>
              <w:right w:w="15" w:type="dxa"/>
            </w:tcMar>
            <w:vAlign w:val="center"/>
            <w:hideMark/>
          </w:tcPr>
          <w:p w14:paraId="7D313721"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1297</w:t>
            </w:r>
          </w:p>
        </w:tc>
        <w:tc>
          <w:tcPr>
            <w:tcW w:w="1882" w:type="dxa"/>
            <w:shd w:val="clear" w:color="auto" w:fill="FFFFFF" w:themeFill="background1"/>
            <w:vAlign w:val="center"/>
          </w:tcPr>
          <w:p w14:paraId="641CDD4E"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1.16%</w:t>
            </w:r>
          </w:p>
        </w:tc>
        <w:tc>
          <w:tcPr>
            <w:tcW w:w="1882" w:type="dxa"/>
            <w:shd w:val="clear" w:color="auto" w:fill="FFFFFF" w:themeFill="background1"/>
            <w:vAlign w:val="center"/>
          </w:tcPr>
          <w:p w14:paraId="4262DDF7"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1945</w:t>
            </w:r>
          </w:p>
        </w:tc>
        <w:tc>
          <w:tcPr>
            <w:tcW w:w="1882" w:type="dxa"/>
            <w:shd w:val="clear" w:color="auto" w:fill="FFFFFF" w:themeFill="background1"/>
            <w:vAlign w:val="center"/>
          </w:tcPr>
          <w:p w14:paraId="65EA2465"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1.93%</w:t>
            </w:r>
          </w:p>
        </w:tc>
        <w:tc>
          <w:tcPr>
            <w:tcW w:w="1898" w:type="dxa"/>
            <w:gridSpan w:val="2"/>
            <w:shd w:val="clear" w:color="auto" w:fill="FFFFFF" w:themeFill="background1"/>
            <w:vAlign w:val="center"/>
          </w:tcPr>
          <w:p w14:paraId="62832476"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3242</w:t>
            </w:r>
          </w:p>
        </w:tc>
      </w:tr>
      <w:tr w:rsidR="00D02083" w:rsidRPr="00C02276" w14:paraId="40289D9E" w14:textId="77777777" w:rsidTr="001F7776">
        <w:tc>
          <w:tcPr>
            <w:tcW w:w="1654" w:type="dxa"/>
            <w:shd w:val="clear" w:color="auto" w:fill="F2F2F2" w:themeFill="background1" w:themeFillShade="F2"/>
            <w:tcMar>
              <w:top w:w="58" w:type="dxa"/>
              <w:left w:w="15" w:type="dxa"/>
              <w:bottom w:w="58" w:type="dxa"/>
              <w:right w:w="15" w:type="dxa"/>
            </w:tcMar>
            <w:vAlign w:val="center"/>
            <w:hideMark/>
          </w:tcPr>
          <w:p w14:paraId="0492F693" w14:textId="77777777" w:rsidR="00D02083" w:rsidRPr="00756793" w:rsidRDefault="00D02083" w:rsidP="001F7776">
            <w:pPr>
              <w:spacing w:after="0" w:line="240" w:lineRule="auto"/>
              <w:rPr>
                <w:rFonts w:ascii="Arial" w:hAnsi="Arial" w:cs="Arial"/>
                <w:sz w:val="20"/>
                <w:szCs w:val="20"/>
              </w:rPr>
            </w:pPr>
            <w:r w:rsidRPr="00756793">
              <w:rPr>
                <w:rFonts w:ascii="Arial" w:hAnsi="Arial" w:cs="Arial"/>
                <w:sz w:val="20"/>
                <w:szCs w:val="20"/>
              </w:rPr>
              <w:t>Esophagogastric</w:t>
            </w:r>
          </w:p>
        </w:tc>
        <w:tc>
          <w:tcPr>
            <w:tcW w:w="1880" w:type="dxa"/>
            <w:shd w:val="clear" w:color="auto" w:fill="F2F2F2" w:themeFill="background1" w:themeFillShade="F2"/>
            <w:tcMar>
              <w:top w:w="58" w:type="dxa"/>
              <w:left w:w="15" w:type="dxa"/>
              <w:bottom w:w="58" w:type="dxa"/>
              <w:right w:w="15" w:type="dxa"/>
            </w:tcMar>
            <w:vAlign w:val="center"/>
            <w:hideMark/>
          </w:tcPr>
          <w:p w14:paraId="150A2432"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0.65%</w:t>
            </w:r>
          </w:p>
        </w:tc>
        <w:tc>
          <w:tcPr>
            <w:tcW w:w="1882" w:type="dxa"/>
            <w:gridSpan w:val="2"/>
            <w:shd w:val="clear" w:color="auto" w:fill="F2F2F2" w:themeFill="background1" w:themeFillShade="F2"/>
            <w:tcMar>
              <w:top w:w="58" w:type="dxa"/>
              <w:left w:w="15" w:type="dxa"/>
              <w:bottom w:w="58" w:type="dxa"/>
              <w:right w:w="15" w:type="dxa"/>
            </w:tcMar>
            <w:vAlign w:val="center"/>
            <w:hideMark/>
          </w:tcPr>
          <w:p w14:paraId="411B4DE2"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18</w:t>
            </w:r>
          </w:p>
        </w:tc>
        <w:tc>
          <w:tcPr>
            <w:tcW w:w="1882" w:type="dxa"/>
            <w:shd w:val="clear" w:color="auto" w:fill="F2F2F2" w:themeFill="background1" w:themeFillShade="F2"/>
            <w:vAlign w:val="center"/>
          </w:tcPr>
          <w:p w14:paraId="4F87A806"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1.46%</w:t>
            </w:r>
          </w:p>
        </w:tc>
        <w:tc>
          <w:tcPr>
            <w:tcW w:w="1882" w:type="dxa"/>
            <w:shd w:val="clear" w:color="auto" w:fill="F2F2F2" w:themeFill="background1" w:themeFillShade="F2"/>
            <w:vAlign w:val="center"/>
          </w:tcPr>
          <w:p w14:paraId="2245CE9D"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41</w:t>
            </w:r>
          </w:p>
        </w:tc>
        <w:tc>
          <w:tcPr>
            <w:tcW w:w="1882" w:type="dxa"/>
            <w:shd w:val="clear" w:color="auto" w:fill="F2F2F2" w:themeFill="background1" w:themeFillShade="F2"/>
            <w:vAlign w:val="center"/>
          </w:tcPr>
          <w:p w14:paraId="6B142E1B"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2.11%</w:t>
            </w:r>
          </w:p>
        </w:tc>
        <w:tc>
          <w:tcPr>
            <w:tcW w:w="1898" w:type="dxa"/>
            <w:gridSpan w:val="2"/>
            <w:shd w:val="clear" w:color="auto" w:fill="F2F2F2" w:themeFill="background1" w:themeFillShade="F2"/>
            <w:vAlign w:val="center"/>
          </w:tcPr>
          <w:p w14:paraId="0039B02F"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59</w:t>
            </w:r>
          </w:p>
        </w:tc>
      </w:tr>
      <w:tr w:rsidR="00D02083" w:rsidRPr="00C02276" w14:paraId="7978A5C1" w14:textId="77777777" w:rsidTr="001F7776">
        <w:tc>
          <w:tcPr>
            <w:tcW w:w="1654" w:type="dxa"/>
            <w:shd w:val="clear" w:color="auto" w:fill="FFFFFF" w:themeFill="background1"/>
            <w:tcMar>
              <w:top w:w="58" w:type="dxa"/>
              <w:left w:w="15" w:type="dxa"/>
              <w:bottom w:w="58" w:type="dxa"/>
              <w:right w:w="15" w:type="dxa"/>
            </w:tcMar>
            <w:vAlign w:val="center"/>
            <w:hideMark/>
          </w:tcPr>
          <w:p w14:paraId="7133861F" w14:textId="77777777" w:rsidR="00D02083" w:rsidRPr="00756793" w:rsidRDefault="00D02083" w:rsidP="001F7776">
            <w:pPr>
              <w:spacing w:after="0" w:line="240" w:lineRule="auto"/>
              <w:rPr>
                <w:rFonts w:ascii="Arial" w:hAnsi="Arial" w:cs="Arial"/>
                <w:sz w:val="20"/>
                <w:szCs w:val="20"/>
              </w:rPr>
            </w:pPr>
            <w:r w:rsidRPr="00756793">
              <w:rPr>
                <w:rFonts w:ascii="Arial" w:hAnsi="Arial" w:cs="Arial"/>
                <w:sz w:val="20"/>
                <w:szCs w:val="20"/>
              </w:rPr>
              <w:t>Pancreatic</w:t>
            </w:r>
          </w:p>
        </w:tc>
        <w:tc>
          <w:tcPr>
            <w:tcW w:w="1880" w:type="dxa"/>
            <w:shd w:val="clear" w:color="auto" w:fill="FFFFFF" w:themeFill="background1"/>
            <w:tcMar>
              <w:top w:w="58" w:type="dxa"/>
              <w:left w:w="15" w:type="dxa"/>
              <w:bottom w:w="58" w:type="dxa"/>
              <w:right w:w="15" w:type="dxa"/>
            </w:tcMar>
            <w:vAlign w:val="center"/>
            <w:hideMark/>
          </w:tcPr>
          <w:p w14:paraId="60AD45AD"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0.57%</w:t>
            </w:r>
          </w:p>
        </w:tc>
        <w:tc>
          <w:tcPr>
            <w:tcW w:w="1882" w:type="dxa"/>
            <w:gridSpan w:val="2"/>
            <w:shd w:val="clear" w:color="auto" w:fill="FFFFFF" w:themeFill="background1"/>
            <w:tcMar>
              <w:top w:w="58" w:type="dxa"/>
              <w:left w:w="15" w:type="dxa"/>
              <w:bottom w:w="58" w:type="dxa"/>
              <w:right w:w="15" w:type="dxa"/>
            </w:tcMar>
            <w:vAlign w:val="center"/>
            <w:hideMark/>
          </w:tcPr>
          <w:p w14:paraId="7256E5C5"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344</w:t>
            </w:r>
          </w:p>
        </w:tc>
        <w:tc>
          <w:tcPr>
            <w:tcW w:w="1882" w:type="dxa"/>
            <w:shd w:val="clear" w:color="auto" w:fill="FFFFFF" w:themeFill="background1"/>
            <w:vAlign w:val="center"/>
          </w:tcPr>
          <w:p w14:paraId="0AB9B44D"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w:t>
            </w:r>
          </w:p>
        </w:tc>
        <w:tc>
          <w:tcPr>
            <w:tcW w:w="1882" w:type="dxa"/>
            <w:shd w:val="clear" w:color="auto" w:fill="FFFFFF" w:themeFill="background1"/>
            <w:vAlign w:val="center"/>
          </w:tcPr>
          <w:p w14:paraId="114699A9"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w:t>
            </w:r>
          </w:p>
        </w:tc>
        <w:tc>
          <w:tcPr>
            <w:tcW w:w="1882" w:type="dxa"/>
            <w:shd w:val="clear" w:color="auto" w:fill="FFFFFF" w:themeFill="background1"/>
            <w:vAlign w:val="center"/>
          </w:tcPr>
          <w:p w14:paraId="5C8197E6"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w:t>
            </w:r>
          </w:p>
        </w:tc>
        <w:tc>
          <w:tcPr>
            <w:tcW w:w="1898" w:type="dxa"/>
            <w:gridSpan w:val="2"/>
            <w:shd w:val="clear" w:color="auto" w:fill="FFFFFF" w:themeFill="background1"/>
            <w:vAlign w:val="center"/>
          </w:tcPr>
          <w:p w14:paraId="72AD3289"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w:t>
            </w:r>
          </w:p>
        </w:tc>
      </w:tr>
      <w:tr w:rsidR="00D02083" w:rsidRPr="00C02276" w14:paraId="279C3922" w14:textId="77777777" w:rsidTr="001F7776">
        <w:tc>
          <w:tcPr>
            <w:tcW w:w="1654" w:type="dxa"/>
            <w:shd w:val="clear" w:color="auto" w:fill="F2F2F2" w:themeFill="background1" w:themeFillShade="F2"/>
            <w:tcMar>
              <w:top w:w="58" w:type="dxa"/>
              <w:left w:w="15" w:type="dxa"/>
              <w:bottom w:w="58" w:type="dxa"/>
              <w:right w:w="15" w:type="dxa"/>
            </w:tcMar>
            <w:vAlign w:val="center"/>
          </w:tcPr>
          <w:p w14:paraId="247BE436" w14:textId="77777777" w:rsidR="00D02083" w:rsidRPr="00756793" w:rsidRDefault="00D02083" w:rsidP="001F7776">
            <w:pPr>
              <w:spacing w:after="0" w:line="240" w:lineRule="auto"/>
              <w:rPr>
                <w:rFonts w:ascii="Arial" w:hAnsi="Arial" w:cs="Arial"/>
                <w:sz w:val="20"/>
                <w:szCs w:val="20"/>
              </w:rPr>
            </w:pPr>
            <w:r>
              <w:rPr>
                <w:rFonts w:ascii="Arial" w:hAnsi="Arial" w:cs="Arial"/>
                <w:sz w:val="20"/>
                <w:szCs w:val="20"/>
              </w:rPr>
              <w:t>Breast</w:t>
            </w:r>
          </w:p>
        </w:tc>
        <w:tc>
          <w:tcPr>
            <w:tcW w:w="1880" w:type="dxa"/>
            <w:shd w:val="clear" w:color="auto" w:fill="F2F2F2" w:themeFill="background1" w:themeFillShade="F2"/>
            <w:tcMar>
              <w:top w:w="58" w:type="dxa"/>
              <w:left w:w="15" w:type="dxa"/>
              <w:bottom w:w="58" w:type="dxa"/>
              <w:right w:w="15" w:type="dxa"/>
            </w:tcMar>
            <w:vAlign w:val="center"/>
          </w:tcPr>
          <w:p w14:paraId="3FEEB246" w14:textId="77777777" w:rsidR="00D02083" w:rsidRPr="00756793" w:rsidRDefault="00D02083" w:rsidP="001F7776">
            <w:pPr>
              <w:spacing w:after="0" w:line="240" w:lineRule="auto"/>
              <w:jc w:val="center"/>
              <w:rPr>
                <w:rFonts w:ascii="Arial" w:hAnsi="Arial" w:cs="Arial"/>
                <w:sz w:val="20"/>
                <w:szCs w:val="20"/>
              </w:rPr>
            </w:pPr>
            <w:r>
              <w:rPr>
                <w:rFonts w:ascii="Arial" w:hAnsi="Arial" w:cs="Arial"/>
                <w:sz w:val="20"/>
                <w:szCs w:val="20"/>
              </w:rPr>
              <w:t>0.41%</w:t>
            </w:r>
          </w:p>
        </w:tc>
        <w:tc>
          <w:tcPr>
            <w:tcW w:w="1882" w:type="dxa"/>
            <w:gridSpan w:val="2"/>
            <w:shd w:val="clear" w:color="auto" w:fill="F2F2F2" w:themeFill="background1" w:themeFillShade="F2"/>
            <w:tcMar>
              <w:top w:w="58" w:type="dxa"/>
              <w:left w:w="15" w:type="dxa"/>
              <w:bottom w:w="58" w:type="dxa"/>
              <w:right w:w="15" w:type="dxa"/>
            </w:tcMar>
            <w:vAlign w:val="center"/>
          </w:tcPr>
          <w:p w14:paraId="433A0C49" w14:textId="77777777" w:rsidR="00D02083" w:rsidRPr="00756793" w:rsidRDefault="00D02083" w:rsidP="001F7776">
            <w:pPr>
              <w:spacing w:after="0" w:line="240" w:lineRule="auto"/>
              <w:jc w:val="center"/>
              <w:rPr>
                <w:rFonts w:ascii="Arial" w:hAnsi="Arial" w:cs="Arial"/>
                <w:sz w:val="20"/>
                <w:szCs w:val="20"/>
              </w:rPr>
            </w:pPr>
            <w:r>
              <w:rPr>
                <w:rFonts w:ascii="Arial" w:hAnsi="Arial" w:cs="Arial"/>
                <w:sz w:val="20"/>
                <w:szCs w:val="20"/>
              </w:rPr>
              <w:t>20</w:t>
            </w:r>
          </w:p>
        </w:tc>
        <w:tc>
          <w:tcPr>
            <w:tcW w:w="1882" w:type="dxa"/>
            <w:shd w:val="clear" w:color="auto" w:fill="F2F2F2" w:themeFill="background1" w:themeFillShade="F2"/>
            <w:vAlign w:val="center"/>
          </w:tcPr>
          <w:p w14:paraId="24F612BB" w14:textId="77777777" w:rsidR="00D02083" w:rsidRPr="00756793" w:rsidRDefault="00D02083" w:rsidP="001F7776">
            <w:pPr>
              <w:spacing w:after="0" w:line="240" w:lineRule="auto"/>
              <w:jc w:val="center"/>
              <w:rPr>
                <w:rFonts w:ascii="Arial" w:hAnsi="Arial" w:cs="Arial"/>
                <w:sz w:val="20"/>
                <w:szCs w:val="20"/>
              </w:rPr>
            </w:pPr>
            <w:r>
              <w:rPr>
                <w:rFonts w:ascii="Arial" w:hAnsi="Arial" w:cs="Arial"/>
                <w:sz w:val="20"/>
                <w:szCs w:val="20"/>
              </w:rPr>
              <w:t>0.10%</w:t>
            </w:r>
          </w:p>
        </w:tc>
        <w:tc>
          <w:tcPr>
            <w:tcW w:w="1882" w:type="dxa"/>
            <w:shd w:val="clear" w:color="auto" w:fill="F2F2F2" w:themeFill="background1" w:themeFillShade="F2"/>
            <w:vAlign w:val="center"/>
          </w:tcPr>
          <w:p w14:paraId="0F394AFB" w14:textId="77777777" w:rsidR="00D02083" w:rsidRPr="00756793" w:rsidRDefault="00D02083" w:rsidP="001F7776">
            <w:pPr>
              <w:spacing w:after="0" w:line="240" w:lineRule="auto"/>
              <w:jc w:val="center"/>
              <w:rPr>
                <w:rFonts w:ascii="Arial" w:hAnsi="Arial" w:cs="Arial"/>
                <w:sz w:val="20"/>
                <w:szCs w:val="20"/>
              </w:rPr>
            </w:pPr>
            <w:r>
              <w:rPr>
                <w:rFonts w:ascii="Arial" w:hAnsi="Arial" w:cs="Arial"/>
                <w:sz w:val="20"/>
                <w:szCs w:val="20"/>
              </w:rPr>
              <w:t>5</w:t>
            </w:r>
          </w:p>
        </w:tc>
        <w:tc>
          <w:tcPr>
            <w:tcW w:w="1882" w:type="dxa"/>
            <w:shd w:val="clear" w:color="auto" w:fill="F2F2F2" w:themeFill="background1" w:themeFillShade="F2"/>
            <w:vAlign w:val="center"/>
          </w:tcPr>
          <w:p w14:paraId="23FE37C2" w14:textId="77777777" w:rsidR="00D02083" w:rsidRPr="00756793" w:rsidRDefault="00D02083" w:rsidP="001F7776">
            <w:pPr>
              <w:spacing w:after="0" w:line="240" w:lineRule="auto"/>
              <w:jc w:val="center"/>
              <w:rPr>
                <w:rFonts w:ascii="Arial" w:hAnsi="Arial" w:cs="Arial"/>
                <w:sz w:val="20"/>
                <w:szCs w:val="20"/>
              </w:rPr>
            </w:pPr>
            <w:r>
              <w:rPr>
                <w:rFonts w:ascii="Arial" w:hAnsi="Arial" w:cs="Arial"/>
                <w:sz w:val="20"/>
                <w:szCs w:val="20"/>
              </w:rPr>
              <w:t>0.51%</w:t>
            </w:r>
          </w:p>
        </w:tc>
        <w:tc>
          <w:tcPr>
            <w:tcW w:w="1898" w:type="dxa"/>
            <w:gridSpan w:val="2"/>
            <w:shd w:val="clear" w:color="auto" w:fill="F2F2F2" w:themeFill="background1" w:themeFillShade="F2"/>
            <w:vAlign w:val="center"/>
          </w:tcPr>
          <w:p w14:paraId="6AADC645" w14:textId="77777777" w:rsidR="00D02083" w:rsidRPr="00756793" w:rsidRDefault="00D02083" w:rsidP="001F7776">
            <w:pPr>
              <w:spacing w:after="0" w:line="240" w:lineRule="auto"/>
              <w:jc w:val="center"/>
              <w:rPr>
                <w:rFonts w:ascii="Arial" w:hAnsi="Arial" w:cs="Arial"/>
                <w:sz w:val="20"/>
                <w:szCs w:val="20"/>
              </w:rPr>
            </w:pPr>
            <w:r>
              <w:rPr>
                <w:rFonts w:ascii="Arial" w:hAnsi="Arial" w:cs="Arial"/>
                <w:sz w:val="20"/>
                <w:szCs w:val="20"/>
              </w:rPr>
              <w:t>25</w:t>
            </w:r>
          </w:p>
        </w:tc>
      </w:tr>
      <w:tr w:rsidR="00D02083" w:rsidRPr="00C02276" w14:paraId="3A4471C6" w14:textId="77777777" w:rsidTr="001F7776">
        <w:tc>
          <w:tcPr>
            <w:tcW w:w="1654" w:type="dxa"/>
            <w:tcBorders>
              <w:bottom w:val="single" w:sz="4" w:space="0" w:color="auto"/>
            </w:tcBorders>
            <w:shd w:val="clear" w:color="auto" w:fill="F2F2F2" w:themeFill="background1" w:themeFillShade="F2"/>
            <w:tcMar>
              <w:top w:w="58" w:type="dxa"/>
              <w:left w:w="15" w:type="dxa"/>
              <w:bottom w:w="58" w:type="dxa"/>
              <w:right w:w="15" w:type="dxa"/>
            </w:tcMar>
            <w:vAlign w:val="center"/>
          </w:tcPr>
          <w:p w14:paraId="2F488EB1" w14:textId="77777777" w:rsidR="00D02083" w:rsidRPr="00756793" w:rsidRDefault="00D02083" w:rsidP="001F7776">
            <w:pPr>
              <w:spacing w:after="0" w:line="240" w:lineRule="auto"/>
              <w:rPr>
                <w:rFonts w:ascii="Arial" w:hAnsi="Arial" w:cs="Arial"/>
                <w:sz w:val="20"/>
                <w:szCs w:val="20"/>
              </w:rPr>
            </w:pPr>
            <w:r w:rsidRPr="00756793">
              <w:rPr>
                <w:rFonts w:ascii="Arial" w:hAnsi="Arial" w:cs="Arial"/>
                <w:sz w:val="20"/>
                <w:szCs w:val="20"/>
              </w:rPr>
              <w:t>Cervix</w:t>
            </w:r>
          </w:p>
        </w:tc>
        <w:tc>
          <w:tcPr>
            <w:tcW w:w="1880" w:type="dxa"/>
            <w:tcBorders>
              <w:bottom w:val="single" w:sz="4" w:space="0" w:color="auto"/>
            </w:tcBorders>
            <w:shd w:val="clear" w:color="auto" w:fill="F2F2F2" w:themeFill="background1" w:themeFillShade="F2"/>
            <w:tcMar>
              <w:top w:w="58" w:type="dxa"/>
              <w:left w:w="15" w:type="dxa"/>
              <w:bottom w:w="58" w:type="dxa"/>
              <w:right w:w="15" w:type="dxa"/>
            </w:tcMar>
            <w:vAlign w:val="center"/>
          </w:tcPr>
          <w:p w14:paraId="0D96DEC4"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w:t>
            </w:r>
          </w:p>
        </w:tc>
        <w:tc>
          <w:tcPr>
            <w:tcW w:w="1882" w:type="dxa"/>
            <w:gridSpan w:val="2"/>
            <w:tcBorders>
              <w:bottom w:val="single" w:sz="4" w:space="0" w:color="auto"/>
            </w:tcBorders>
            <w:shd w:val="clear" w:color="auto" w:fill="F2F2F2" w:themeFill="background1" w:themeFillShade="F2"/>
            <w:tcMar>
              <w:top w:w="58" w:type="dxa"/>
              <w:left w:w="15" w:type="dxa"/>
              <w:bottom w:w="58" w:type="dxa"/>
              <w:right w:w="15" w:type="dxa"/>
            </w:tcMar>
            <w:vAlign w:val="center"/>
          </w:tcPr>
          <w:p w14:paraId="6FECBD19"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w:t>
            </w:r>
          </w:p>
        </w:tc>
        <w:tc>
          <w:tcPr>
            <w:tcW w:w="1882" w:type="dxa"/>
            <w:tcBorders>
              <w:bottom w:val="single" w:sz="4" w:space="0" w:color="auto"/>
            </w:tcBorders>
            <w:shd w:val="clear" w:color="auto" w:fill="F2F2F2" w:themeFill="background1" w:themeFillShade="F2"/>
            <w:vAlign w:val="center"/>
          </w:tcPr>
          <w:p w14:paraId="681F5540"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0.71%</w:t>
            </w:r>
          </w:p>
        </w:tc>
        <w:tc>
          <w:tcPr>
            <w:tcW w:w="1882" w:type="dxa"/>
            <w:tcBorders>
              <w:bottom w:val="single" w:sz="4" w:space="0" w:color="auto"/>
            </w:tcBorders>
            <w:shd w:val="clear" w:color="auto" w:fill="F2F2F2" w:themeFill="background1" w:themeFillShade="F2"/>
            <w:vAlign w:val="center"/>
          </w:tcPr>
          <w:p w14:paraId="15166B1E"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808</w:t>
            </w:r>
          </w:p>
        </w:tc>
        <w:tc>
          <w:tcPr>
            <w:tcW w:w="1882" w:type="dxa"/>
            <w:tcBorders>
              <w:bottom w:val="single" w:sz="4" w:space="0" w:color="auto"/>
            </w:tcBorders>
            <w:shd w:val="clear" w:color="auto" w:fill="F2F2F2" w:themeFill="background1" w:themeFillShade="F2"/>
            <w:vAlign w:val="center"/>
          </w:tcPr>
          <w:p w14:paraId="181822D6"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w:t>
            </w:r>
          </w:p>
        </w:tc>
        <w:tc>
          <w:tcPr>
            <w:tcW w:w="1898" w:type="dxa"/>
            <w:gridSpan w:val="2"/>
            <w:tcBorders>
              <w:bottom w:val="single" w:sz="4" w:space="0" w:color="auto"/>
            </w:tcBorders>
            <w:shd w:val="clear" w:color="auto" w:fill="F2F2F2" w:themeFill="background1" w:themeFillShade="F2"/>
            <w:vAlign w:val="center"/>
          </w:tcPr>
          <w:p w14:paraId="70FD2369" w14:textId="77777777" w:rsidR="00D02083" w:rsidRPr="00756793" w:rsidRDefault="00D02083" w:rsidP="001F7776">
            <w:pPr>
              <w:spacing w:after="0" w:line="240" w:lineRule="auto"/>
              <w:jc w:val="center"/>
              <w:rPr>
                <w:rFonts w:ascii="Arial" w:hAnsi="Arial" w:cs="Arial"/>
                <w:sz w:val="20"/>
                <w:szCs w:val="20"/>
              </w:rPr>
            </w:pPr>
            <w:r w:rsidRPr="00756793">
              <w:rPr>
                <w:rFonts w:ascii="Arial" w:hAnsi="Arial" w:cs="Arial"/>
                <w:sz w:val="20"/>
                <w:szCs w:val="20"/>
              </w:rPr>
              <w:t>--</w:t>
            </w:r>
          </w:p>
        </w:tc>
      </w:tr>
    </w:tbl>
    <w:p w14:paraId="6ECD91DE" w14:textId="77777777" w:rsidR="00D02083" w:rsidRPr="00756793" w:rsidRDefault="00D02083" w:rsidP="00D02083">
      <w:pPr>
        <w:rPr>
          <w:rFonts w:ascii="Arial" w:hAnsi="Arial" w:cs="Arial"/>
          <w:sz w:val="20"/>
          <w:szCs w:val="20"/>
        </w:rPr>
      </w:pPr>
      <w:proofErr w:type="spellStart"/>
      <w:r w:rsidRPr="00756793">
        <w:rPr>
          <w:rFonts w:ascii="Arial" w:hAnsi="Arial" w:cs="Arial"/>
          <w:sz w:val="20"/>
          <w:szCs w:val="20"/>
          <w:vertAlign w:val="superscript"/>
        </w:rPr>
        <w:t>a</w:t>
      </w:r>
      <w:r w:rsidRPr="00756793">
        <w:rPr>
          <w:rFonts w:ascii="Arial" w:hAnsi="Arial" w:cs="Arial"/>
          <w:sz w:val="20"/>
          <w:szCs w:val="20"/>
        </w:rPr>
        <w:t>The</w:t>
      </w:r>
      <w:proofErr w:type="spellEnd"/>
      <w:r w:rsidRPr="00756793">
        <w:rPr>
          <w:rFonts w:ascii="Arial" w:hAnsi="Arial" w:cs="Arial"/>
          <w:sz w:val="20"/>
          <w:szCs w:val="20"/>
        </w:rPr>
        <w:t xml:space="preserve"> proportion of patients with definite impact mutations (</w:t>
      </w:r>
      <w:proofErr w:type="spellStart"/>
      <w:r w:rsidRPr="00756793">
        <w:rPr>
          <w:rFonts w:ascii="Arial" w:hAnsi="Arial" w:cs="Arial"/>
          <w:sz w:val="20"/>
          <w:szCs w:val="20"/>
        </w:rPr>
        <w:t>ie</w:t>
      </w:r>
      <w:proofErr w:type="spellEnd"/>
      <w:r w:rsidRPr="00756793">
        <w:rPr>
          <w:rFonts w:ascii="Arial" w:hAnsi="Arial" w:cs="Arial"/>
          <w:sz w:val="20"/>
          <w:szCs w:val="20"/>
        </w:rPr>
        <w:t xml:space="preserve">, mutations known to have a biological impact; this includes frameshift, nonsense, and splice-site mutations and deep deletions) was derived from the NIH NCI Genomic Data Commons Data Portal (NIH NCI Genomic Data Commons). </w:t>
      </w:r>
      <w:proofErr w:type="spellStart"/>
      <w:r w:rsidRPr="00756793">
        <w:rPr>
          <w:rFonts w:ascii="Arial" w:hAnsi="Arial" w:cs="Arial"/>
          <w:sz w:val="20"/>
          <w:szCs w:val="20"/>
          <w:vertAlign w:val="superscript"/>
        </w:rPr>
        <w:t>b</w:t>
      </w:r>
      <w:r w:rsidRPr="00756793">
        <w:rPr>
          <w:rFonts w:ascii="Arial" w:hAnsi="Arial" w:cs="Arial"/>
          <w:sz w:val="20"/>
          <w:szCs w:val="20"/>
        </w:rPr>
        <w:t>Estimated</w:t>
      </w:r>
      <w:proofErr w:type="spellEnd"/>
      <w:r w:rsidRPr="00756793">
        <w:rPr>
          <w:rFonts w:ascii="Arial" w:hAnsi="Arial" w:cs="Arial"/>
          <w:sz w:val="20"/>
          <w:szCs w:val="20"/>
        </w:rPr>
        <w:t xml:space="preserve"> numbers were derived based on the total number of advanced cases of each disease type (Siegel at al. 2019; and Surveillance, Epidemiology, and End Results [SEER] database https://seer.cancer.gov/statistics/) and the proportion of patients with definite impact mutations (NIH NCI Genomic Data Commons). Estimates were calculated by applying tumor type–specific alteration incidence rates sourced from TCGA program to tumor type–specific SEER Program estimated newly diagnosed patient numbers for 2030. TGCA and SEER data were accessed September 27, 2021. CRC, colorectal carcinoma; NCI, National Cancer Institute; NIH, National Institutes of Health; NSCLC, non-small cell lung cancer; SEER, Surveillance, Epidemiology, and End Results; TCGA, The Cancer Genome Atlas.</w:t>
      </w:r>
    </w:p>
    <w:p w14:paraId="06B4F508" w14:textId="77777777" w:rsidR="00D02083" w:rsidRDefault="00D02083"/>
    <w:sectPr w:rsidR="00D02083" w:rsidSect="00D0208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083"/>
    <w:rsid w:val="00D02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57AD1"/>
  <w15:chartTrackingRefBased/>
  <w15:docId w15:val="{88A04661-FD35-451B-9274-45DF5443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083"/>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E. Durbano</dc:creator>
  <cp:keywords/>
  <dc:description/>
  <cp:lastModifiedBy>Hilary E. Durbano</cp:lastModifiedBy>
  <cp:revision>1</cp:revision>
  <dcterms:created xsi:type="dcterms:W3CDTF">2022-06-27T19:46:00Z</dcterms:created>
  <dcterms:modified xsi:type="dcterms:W3CDTF">2022-06-27T19:47:00Z</dcterms:modified>
</cp:coreProperties>
</file>