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1500"/>
        <w:tblW w:w="0" w:type="auto"/>
        <w:tblLook w:val="04A0" w:firstRow="1" w:lastRow="0" w:firstColumn="1" w:lastColumn="0" w:noHBand="0" w:noVBand="1"/>
      </w:tblPr>
      <w:tblGrid>
        <w:gridCol w:w="3467"/>
        <w:gridCol w:w="69"/>
        <w:gridCol w:w="3401"/>
        <w:gridCol w:w="2073"/>
      </w:tblGrid>
      <w:tr w:rsidR="00FD125B" w14:paraId="45BB8063" w14:textId="77777777" w:rsidTr="00FD125B">
        <w:tc>
          <w:tcPr>
            <w:tcW w:w="6937" w:type="dxa"/>
            <w:gridSpan w:val="3"/>
            <w:tcBorders>
              <w:bottom w:val="single" w:sz="4" w:space="0" w:color="auto"/>
            </w:tcBorders>
          </w:tcPr>
          <w:p w14:paraId="6ABA6149" w14:textId="77777777" w:rsidR="00FD125B" w:rsidRDefault="00FD125B" w:rsidP="00FD125B">
            <w:pPr>
              <w:rPr>
                <w:b/>
                <w:bCs/>
              </w:rPr>
            </w:pPr>
            <w:r>
              <w:rPr>
                <w:b/>
                <w:bCs/>
              </w:rPr>
              <w:t>Stratification variable (reference comparator)</w:t>
            </w:r>
          </w:p>
        </w:tc>
        <w:tc>
          <w:tcPr>
            <w:tcW w:w="2073" w:type="dxa"/>
          </w:tcPr>
          <w:p w14:paraId="0B332FC0" w14:textId="77777777" w:rsidR="00FD125B" w:rsidRDefault="00FD125B" w:rsidP="00FD12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HR (95% CI)</w:t>
            </w:r>
          </w:p>
        </w:tc>
      </w:tr>
      <w:tr w:rsidR="00FD125B" w14:paraId="78692160" w14:textId="77777777" w:rsidTr="00FD125B"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539332D" w14:textId="77777777" w:rsidR="00FD125B" w:rsidRPr="001F554C" w:rsidRDefault="00FD125B" w:rsidP="00FD125B">
            <w:r w:rsidRPr="001F554C">
              <w:t>Disease type (primary refractory)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6D1DB0" w14:textId="77777777" w:rsidR="00FD125B" w:rsidRPr="001F554C" w:rsidRDefault="00FD125B" w:rsidP="00FD125B">
            <w:r>
              <w:t>1</w:t>
            </w:r>
            <w:r w:rsidRPr="001F554C">
              <w:rPr>
                <w:vertAlign w:val="superscript"/>
              </w:rPr>
              <w:t>st</w:t>
            </w:r>
            <w:r>
              <w:t xml:space="preserve"> recurrence &lt; 2 years</w:t>
            </w:r>
          </w:p>
        </w:tc>
        <w:tc>
          <w:tcPr>
            <w:tcW w:w="2073" w:type="dxa"/>
            <w:vMerge w:val="restart"/>
            <w:tcBorders>
              <w:left w:val="single" w:sz="4" w:space="0" w:color="auto"/>
            </w:tcBorders>
          </w:tcPr>
          <w:p w14:paraId="7B18C8B1" w14:textId="77777777" w:rsidR="00FD125B" w:rsidRPr="001F554C" w:rsidRDefault="00FD125B" w:rsidP="00FD125B">
            <w:pPr>
              <w:jc w:val="right"/>
            </w:pPr>
            <w:r>
              <w:t>0.55 (0.42, 0.70)</w:t>
            </w:r>
          </w:p>
          <w:p w14:paraId="00D833C1" w14:textId="77777777" w:rsidR="00FD125B" w:rsidRPr="001F554C" w:rsidRDefault="00FD125B" w:rsidP="00FD125B">
            <w:pPr>
              <w:jc w:val="right"/>
            </w:pPr>
            <w:r>
              <w:t>0.18 (0.13, 0.27)</w:t>
            </w:r>
          </w:p>
          <w:p w14:paraId="01461390" w14:textId="77777777" w:rsidR="00FD125B" w:rsidRPr="001F554C" w:rsidRDefault="00FD125B" w:rsidP="00FD125B">
            <w:pPr>
              <w:jc w:val="right"/>
            </w:pPr>
            <w:r>
              <w:t>0.41 (0.29, 0.58)</w:t>
            </w:r>
          </w:p>
        </w:tc>
      </w:tr>
      <w:tr w:rsidR="00FD125B" w14:paraId="7EC76011" w14:textId="77777777" w:rsidTr="00FD125B">
        <w:tc>
          <w:tcPr>
            <w:tcW w:w="35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4324FB3" w14:textId="77777777" w:rsidR="00FD125B" w:rsidRPr="001F554C" w:rsidRDefault="00FD125B" w:rsidP="00FD125B"/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8863B" w14:textId="77777777" w:rsidR="00FD125B" w:rsidRPr="001F554C" w:rsidRDefault="00FD125B" w:rsidP="00FD125B">
            <w:r>
              <w:t>1</w:t>
            </w:r>
            <w:r w:rsidRPr="001F554C">
              <w:rPr>
                <w:vertAlign w:val="superscript"/>
              </w:rPr>
              <w:t>st</w:t>
            </w:r>
            <w:r>
              <w:t xml:space="preserve"> recurrence </w:t>
            </w:r>
            <w:r>
              <w:rPr>
                <w:rFonts w:cstheme="minorHAnsi"/>
              </w:rPr>
              <w:t>≥ 2 years</w:t>
            </w:r>
          </w:p>
        </w:tc>
        <w:tc>
          <w:tcPr>
            <w:tcW w:w="2073" w:type="dxa"/>
            <w:vMerge/>
            <w:tcBorders>
              <w:left w:val="single" w:sz="4" w:space="0" w:color="auto"/>
            </w:tcBorders>
          </w:tcPr>
          <w:p w14:paraId="32B2572E" w14:textId="77777777" w:rsidR="00FD125B" w:rsidRPr="001F554C" w:rsidRDefault="00FD125B" w:rsidP="00FD125B">
            <w:pPr>
              <w:jc w:val="right"/>
            </w:pPr>
          </w:p>
        </w:tc>
      </w:tr>
      <w:tr w:rsidR="00FD125B" w14:paraId="352BC0CE" w14:textId="77777777" w:rsidTr="00FD125B"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1BD5CA5" w14:textId="77777777" w:rsidR="00FD125B" w:rsidRPr="001F554C" w:rsidRDefault="00FD125B" w:rsidP="00FD125B"/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7F225" w14:textId="77777777" w:rsidR="00FD125B" w:rsidRPr="001F554C" w:rsidRDefault="00FD125B" w:rsidP="00FD125B">
            <w:r>
              <w:t>2</w:t>
            </w:r>
            <w:r w:rsidRPr="001F554C">
              <w:rPr>
                <w:vertAlign w:val="superscript"/>
              </w:rPr>
              <w:t>nd</w:t>
            </w:r>
            <w:r>
              <w:t xml:space="preserve"> or subsequent recurrences</w:t>
            </w:r>
          </w:p>
        </w:tc>
        <w:tc>
          <w:tcPr>
            <w:tcW w:w="2073" w:type="dxa"/>
            <w:vMerge/>
            <w:tcBorders>
              <w:left w:val="single" w:sz="4" w:space="0" w:color="auto"/>
            </w:tcBorders>
          </w:tcPr>
          <w:p w14:paraId="183144DE" w14:textId="77777777" w:rsidR="00FD125B" w:rsidRPr="001F554C" w:rsidRDefault="00FD125B" w:rsidP="00FD125B">
            <w:pPr>
              <w:jc w:val="right"/>
            </w:pPr>
          </w:p>
        </w:tc>
      </w:tr>
      <w:tr w:rsidR="00FD125B" w14:paraId="5531F0E2" w14:textId="77777777" w:rsidTr="00FD125B">
        <w:tc>
          <w:tcPr>
            <w:tcW w:w="3536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6A90759A" w14:textId="77777777" w:rsidR="00FD125B" w:rsidRPr="001F554C" w:rsidRDefault="00FD125B" w:rsidP="00FD125B">
            <w:r>
              <w:t>Site(s) disease recurrence or progression (local)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</w:tcBorders>
          </w:tcPr>
          <w:p w14:paraId="42FC7BD2" w14:textId="77777777" w:rsidR="00FD125B" w:rsidRPr="001F554C" w:rsidRDefault="00FD125B" w:rsidP="00FD125B">
            <w:r>
              <w:t>Lung/pleuropulmonary metastases</w:t>
            </w:r>
          </w:p>
        </w:tc>
        <w:tc>
          <w:tcPr>
            <w:tcW w:w="2073" w:type="dxa"/>
            <w:vMerge w:val="restart"/>
          </w:tcPr>
          <w:p w14:paraId="6B271030" w14:textId="77777777" w:rsidR="00FD125B" w:rsidRPr="001F554C" w:rsidRDefault="00FD125B" w:rsidP="00FD125B">
            <w:pPr>
              <w:jc w:val="right"/>
            </w:pPr>
            <w:r>
              <w:t>1.08 (0.80, 1.46)</w:t>
            </w:r>
          </w:p>
          <w:p w14:paraId="54A4E6AA" w14:textId="77777777" w:rsidR="00FD125B" w:rsidRPr="001F554C" w:rsidRDefault="00FD125B" w:rsidP="00FD125B">
            <w:pPr>
              <w:jc w:val="right"/>
            </w:pPr>
            <w:r>
              <w:t>1.28 (0.96, 1.69)</w:t>
            </w:r>
          </w:p>
        </w:tc>
      </w:tr>
      <w:tr w:rsidR="00FD125B" w14:paraId="5FA08AC1" w14:textId="77777777" w:rsidTr="00FD125B">
        <w:tc>
          <w:tcPr>
            <w:tcW w:w="3536" w:type="dxa"/>
            <w:gridSpan w:val="2"/>
            <w:vMerge/>
            <w:tcBorders>
              <w:right w:val="nil"/>
            </w:tcBorders>
          </w:tcPr>
          <w:p w14:paraId="77F2E1DE" w14:textId="77777777" w:rsidR="00FD125B" w:rsidRPr="001F554C" w:rsidRDefault="00FD125B" w:rsidP="00FD125B"/>
        </w:tc>
        <w:tc>
          <w:tcPr>
            <w:tcW w:w="3401" w:type="dxa"/>
            <w:tcBorders>
              <w:top w:val="nil"/>
              <w:left w:val="nil"/>
            </w:tcBorders>
          </w:tcPr>
          <w:p w14:paraId="3BD004B3" w14:textId="77777777" w:rsidR="00FD125B" w:rsidRPr="001F554C" w:rsidRDefault="00FD125B" w:rsidP="00FD125B">
            <w:r>
              <w:t>Other metastases</w:t>
            </w:r>
          </w:p>
        </w:tc>
        <w:tc>
          <w:tcPr>
            <w:tcW w:w="2073" w:type="dxa"/>
            <w:vMerge/>
          </w:tcPr>
          <w:p w14:paraId="36511507" w14:textId="77777777" w:rsidR="00FD125B" w:rsidRPr="001F554C" w:rsidRDefault="00FD125B" w:rsidP="00FD125B">
            <w:pPr>
              <w:jc w:val="right"/>
            </w:pPr>
          </w:p>
        </w:tc>
      </w:tr>
      <w:tr w:rsidR="00FD125B" w14:paraId="604489A3" w14:textId="77777777" w:rsidTr="00FD125B">
        <w:tc>
          <w:tcPr>
            <w:tcW w:w="6937" w:type="dxa"/>
            <w:gridSpan w:val="3"/>
          </w:tcPr>
          <w:p w14:paraId="2CF7E675" w14:textId="77777777" w:rsidR="00FD125B" w:rsidRPr="001F554C" w:rsidRDefault="00FD125B" w:rsidP="00FD125B">
            <w:r>
              <w:t>Measurable (no)</w:t>
            </w:r>
            <w:r>
              <w:tab/>
            </w:r>
            <w:r>
              <w:tab/>
              <w:t xml:space="preserve">             Yes</w:t>
            </w:r>
          </w:p>
        </w:tc>
        <w:tc>
          <w:tcPr>
            <w:tcW w:w="2073" w:type="dxa"/>
          </w:tcPr>
          <w:p w14:paraId="3D50CFE6" w14:textId="77777777" w:rsidR="00FD125B" w:rsidRPr="001F554C" w:rsidRDefault="00FD125B" w:rsidP="00FD125B">
            <w:pPr>
              <w:jc w:val="right"/>
            </w:pPr>
            <w:r>
              <w:t>1.32 (0.98, 1.79)</w:t>
            </w:r>
          </w:p>
        </w:tc>
      </w:tr>
      <w:tr w:rsidR="00FD125B" w14:paraId="010FA7C5" w14:textId="77777777" w:rsidTr="00FD125B">
        <w:tc>
          <w:tcPr>
            <w:tcW w:w="6937" w:type="dxa"/>
            <w:gridSpan w:val="3"/>
          </w:tcPr>
          <w:p w14:paraId="40611F50" w14:textId="77777777" w:rsidR="00FD125B" w:rsidRPr="00625786" w:rsidRDefault="00FD125B" w:rsidP="00FD125B">
            <w:pPr>
              <w:rPr>
                <w:b/>
                <w:bCs/>
              </w:rPr>
            </w:pPr>
            <w:r>
              <w:rPr>
                <w:b/>
                <w:bCs/>
              </w:rPr>
              <w:t>Other baseline variables</w:t>
            </w:r>
          </w:p>
        </w:tc>
        <w:tc>
          <w:tcPr>
            <w:tcW w:w="2073" w:type="dxa"/>
          </w:tcPr>
          <w:p w14:paraId="68FB0585" w14:textId="77777777" w:rsidR="00FD125B" w:rsidRDefault="00FD125B" w:rsidP="00FD125B">
            <w:pPr>
              <w:jc w:val="right"/>
            </w:pPr>
          </w:p>
        </w:tc>
      </w:tr>
      <w:tr w:rsidR="00FD125B" w14:paraId="2A3B9C63" w14:textId="77777777" w:rsidTr="00FD125B">
        <w:tc>
          <w:tcPr>
            <w:tcW w:w="6937" w:type="dxa"/>
            <w:gridSpan w:val="3"/>
            <w:tcBorders>
              <w:bottom w:val="single" w:sz="4" w:space="0" w:color="auto"/>
            </w:tcBorders>
          </w:tcPr>
          <w:p w14:paraId="50A3EBFC" w14:textId="77777777" w:rsidR="00FD125B" w:rsidRDefault="00FD125B" w:rsidP="00FD125B">
            <w:r>
              <w:t>Age in years</w:t>
            </w:r>
          </w:p>
        </w:tc>
        <w:tc>
          <w:tcPr>
            <w:tcW w:w="2073" w:type="dxa"/>
          </w:tcPr>
          <w:p w14:paraId="3BA0FDF6" w14:textId="77777777" w:rsidR="00FD125B" w:rsidRDefault="00FD125B" w:rsidP="00FD125B">
            <w:pPr>
              <w:jc w:val="right"/>
            </w:pPr>
            <w:r>
              <w:t>1.01 (&lt;1.00, 1.02)</w:t>
            </w:r>
          </w:p>
        </w:tc>
      </w:tr>
      <w:tr w:rsidR="00FD125B" w14:paraId="5F8C8526" w14:textId="77777777" w:rsidTr="00FD125B">
        <w:tc>
          <w:tcPr>
            <w:tcW w:w="3467" w:type="dxa"/>
            <w:tcBorders>
              <w:right w:val="nil"/>
            </w:tcBorders>
          </w:tcPr>
          <w:p w14:paraId="4BEB4985" w14:textId="77777777" w:rsidR="00FD125B" w:rsidRDefault="00FD125B" w:rsidP="00FD125B">
            <w:r>
              <w:t>Ewing’s type at diagnosis (classic)</w:t>
            </w:r>
          </w:p>
        </w:tc>
        <w:tc>
          <w:tcPr>
            <w:tcW w:w="3470" w:type="dxa"/>
            <w:gridSpan w:val="2"/>
            <w:tcBorders>
              <w:left w:val="nil"/>
            </w:tcBorders>
          </w:tcPr>
          <w:p w14:paraId="1C705F11" w14:textId="77777777" w:rsidR="00FD125B" w:rsidRDefault="00FD125B" w:rsidP="00FD125B">
            <w:r>
              <w:t>Atypical</w:t>
            </w:r>
          </w:p>
        </w:tc>
        <w:tc>
          <w:tcPr>
            <w:tcW w:w="2073" w:type="dxa"/>
          </w:tcPr>
          <w:p w14:paraId="1DFBCA4C" w14:textId="77777777" w:rsidR="00FD125B" w:rsidRDefault="00FD125B" w:rsidP="00FD125B">
            <w:pPr>
              <w:jc w:val="right"/>
            </w:pPr>
            <w:r>
              <w:t>1.57 (0.98, 2.53)</w:t>
            </w:r>
          </w:p>
        </w:tc>
      </w:tr>
    </w:tbl>
    <w:p w14:paraId="6E0B1B42" w14:textId="77777777" w:rsidR="00FD125B" w:rsidRPr="00C93113" w:rsidRDefault="00FD125B" w:rsidP="00FD125B">
      <w:r>
        <w:rPr>
          <w:b/>
          <w:bCs/>
        </w:rPr>
        <w:t xml:space="preserve">Table 2. </w:t>
      </w:r>
      <w:r>
        <w:t>Prognostic effect of each stratification variable with EFS, adjusting for patients’ treatment allocation.</w:t>
      </w:r>
    </w:p>
    <w:p w14:paraId="2CDCDDD8" w14:textId="77777777" w:rsidR="005826AF" w:rsidRDefault="00FD125B">
      <w:bookmarkStart w:id="0" w:name="_GoBack"/>
      <w:bookmarkEnd w:id="0"/>
    </w:p>
    <w:sectPr w:rsidR="005826AF" w:rsidSect="00EB4BD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5B"/>
    <w:rsid w:val="000076A9"/>
    <w:rsid w:val="00023C10"/>
    <w:rsid w:val="0002428E"/>
    <w:rsid w:val="00033094"/>
    <w:rsid w:val="00055BAF"/>
    <w:rsid w:val="0006428D"/>
    <w:rsid w:val="00070A33"/>
    <w:rsid w:val="00082C65"/>
    <w:rsid w:val="000878FC"/>
    <w:rsid w:val="000B1C04"/>
    <w:rsid w:val="001166DE"/>
    <w:rsid w:val="001448AF"/>
    <w:rsid w:val="00163EF4"/>
    <w:rsid w:val="001731FC"/>
    <w:rsid w:val="00185DD4"/>
    <w:rsid w:val="0019457B"/>
    <w:rsid w:val="00195778"/>
    <w:rsid w:val="001A113D"/>
    <w:rsid w:val="001B0666"/>
    <w:rsid w:val="001C51A7"/>
    <w:rsid w:val="001C6605"/>
    <w:rsid w:val="001F593D"/>
    <w:rsid w:val="0020104C"/>
    <w:rsid w:val="002418A0"/>
    <w:rsid w:val="00245870"/>
    <w:rsid w:val="002500BB"/>
    <w:rsid w:val="00255B73"/>
    <w:rsid w:val="002651A3"/>
    <w:rsid w:val="0026759A"/>
    <w:rsid w:val="00292742"/>
    <w:rsid w:val="002B5259"/>
    <w:rsid w:val="002C583E"/>
    <w:rsid w:val="002C6A66"/>
    <w:rsid w:val="002D6107"/>
    <w:rsid w:val="002E285D"/>
    <w:rsid w:val="002F5F8A"/>
    <w:rsid w:val="003032AF"/>
    <w:rsid w:val="00322C90"/>
    <w:rsid w:val="00327F10"/>
    <w:rsid w:val="00341E10"/>
    <w:rsid w:val="00374997"/>
    <w:rsid w:val="003A5733"/>
    <w:rsid w:val="003B73DD"/>
    <w:rsid w:val="003C364F"/>
    <w:rsid w:val="003C3A35"/>
    <w:rsid w:val="003D0557"/>
    <w:rsid w:val="003E3C09"/>
    <w:rsid w:val="00402739"/>
    <w:rsid w:val="00406B89"/>
    <w:rsid w:val="00422FD5"/>
    <w:rsid w:val="004436DF"/>
    <w:rsid w:val="00495B0F"/>
    <w:rsid w:val="004A77B2"/>
    <w:rsid w:val="004B10C3"/>
    <w:rsid w:val="004F48BB"/>
    <w:rsid w:val="004F7813"/>
    <w:rsid w:val="005253A0"/>
    <w:rsid w:val="005B4DA5"/>
    <w:rsid w:val="005C4A7F"/>
    <w:rsid w:val="005E1E6A"/>
    <w:rsid w:val="005F5A7A"/>
    <w:rsid w:val="00617D1C"/>
    <w:rsid w:val="0062405F"/>
    <w:rsid w:val="00625AF0"/>
    <w:rsid w:val="00640853"/>
    <w:rsid w:val="006549F0"/>
    <w:rsid w:val="0067188F"/>
    <w:rsid w:val="006B708B"/>
    <w:rsid w:val="006D34BC"/>
    <w:rsid w:val="006D62E4"/>
    <w:rsid w:val="006F16A0"/>
    <w:rsid w:val="0071311F"/>
    <w:rsid w:val="00723AA0"/>
    <w:rsid w:val="00740375"/>
    <w:rsid w:val="00752F4F"/>
    <w:rsid w:val="00761B27"/>
    <w:rsid w:val="00780361"/>
    <w:rsid w:val="007A4033"/>
    <w:rsid w:val="007C45B0"/>
    <w:rsid w:val="007D08F9"/>
    <w:rsid w:val="007E0417"/>
    <w:rsid w:val="007E5B9C"/>
    <w:rsid w:val="007F2854"/>
    <w:rsid w:val="008039B4"/>
    <w:rsid w:val="00816438"/>
    <w:rsid w:val="008216FD"/>
    <w:rsid w:val="00836483"/>
    <w:rsid w:val="00861076"/>
    <w:rsid w:val="00861CB9"/>
    <w:rsid w:val="008774AD"/>
    <w:rsid w:val="008A3932"/>
    <w:rsid w:val="008D0932"/>
    <w:rsid w:val="008D0CE8"/>
    <w:rsid w:val="008E1D16"/>
    <w:rsid w:val="009127B1"/>
    <w:rsid w:val="00923B05"/>
    <w:rsid w:val="00942B3C"/>
    <w:rsid w:val="009575D2"/>
    <w:rsid w:val="00957DF7"/>
    <w:rsid w:val="00970D05"/>
    <w:rsid w:val="009B2F39"/>
    <w:rsid w:val="009F5E08"/>
    <w:rsid w:val="00A143D9"/>
    <w:rsid w:val="00A21070"/>
    <w:rsid w:val="00A31FE3"/>
    <w:rsid w:val="00A33521"/>
    <w:rsid w:val="00A36605"/>
    <w:rsid w:val="00A4367C"/>
    <w:rsid w:val="00A5454B"/>
    <w:rsid w:val="00A60694"/>
    <w:rsid w:val="00A71E60"/>
    <w:rsid w:val="00A7664D"/>
    <w:rsid w:val="00AB287D"/>
    <w:rsid w:val="00AD3314"/>
    <w:rsid w:val="00AE09FA"/>
    <w:rsid w:val="00AE2B29"/>
    <w:rsid w:val="00AE3AE1"/>
    <w:rsid w:val="00AF5A4F"/>
    <w:rsid w:val="00B41596"/>
    <w:rsid w:val="00B5532D"/>
    <w:rsid w:val="00B92D45"/>
    <w:rsid w:val="00B940FC"/>
    <w:rsid w:val="00BB2352"/>
    <w:rsid w:val="00BE58AB"/>
    <w:rsid w:val="00BF0B70"/>
    <w:rsid w:val="00C01C79"/>
    <w:rsid w:val="00C1534E"/>
    <w:rsid w:val="00C75BC8"/>
    <w:rsid w:val="00CE1334"/>
    <w:rsid w:val="00CF5DAE"/>
    <w:rsid w:val="00D50A1F"/>
    <w:rsid w:val="00D64B13"/>
    <w:rsid w:val="00D64E0A"/>
    <w:rsid w:val="00D73500"/>
    <w:rsid w:val="00D73C79"/>
    <w:rsid w:val="00D931E0"/>
    <w:rsid w:val="00DA4D2A"/>
    <w:rsid w:val="00DB57F9"/>
    <w:rsid w:val="00DC338C"/>
    <w:rsid w:val="00DD3B8B"/>
    <w:rsid w:val="00DE27F4"/>
    <w:rsid w:val="00DE4DBE"/>
    <w:rsid w:val="00E20451"/>
    <w:rsid w:val="00E20B3E"/>
    <w:rsid w:val="00E25BF9"/>
    <w:rsid w:val="00E52663"/>
    <w:rsid w:val="00E549B3"/>
    <w:rsid w:val="00E60F8B"/>
    <w:rsid w:val="00E94BD6"/>
    <w:rsid w:val="00EB4BDA"/>
    <w:rsid w:val="00F029D0"/>
    <w:rsid w:val="00F27C7F"/>
    <w:rsid w:val="00F55C95"/>
    <w:rsid w:val="00F8712E"/>
    <w:rsid w:val="00F9459D"/>
    <w:rsid w:val="00FA1D4C"/>
    <w:rsid w:val="00FA41EE"/>
    <w:rsid w:val="00FD125B"/>
    <w:rsid w:val="00FD7C9E"/>
    <w:rsid w:val="00FE5E13"/>
    <w:rsid w:val="00FF0D11"/>
    <w:rsid w:val="00F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FDFC0B"/>
  <w15:chartTrackingRefBased/>
  <w15:docId w15:val="{D0C070C7-D4D3-5F4D-A931-CA553836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125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2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Mccabe</dc:creator>
  <cp:keywords/>
  <dc:description/>
  <cp:lastModifiedBy>Martin Mccabe</cp:lastModifiedBy>
  <cp:revision>1</cp:revision>
  <dcterms:created xsi:type="dcterms:W3CDTF">2022-06-27T15:51:00Z</dcterms:created>
  <dcterms:modified xsi:type="dcterms:W3CDTF">2022-06-27T15:51:00Z</dcterms:modified>
</cp:coreProperties>
</file>