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595"/>
        <w:gridCol w:w="1594"/>
        <w:gridCol w:w="1594"/>
        <w:gridCol w:w="1090"/>
      </w:tblGrid>
      <w:tr w:rsidR="00E40557" w:rsidRPr="005561CF" w14:paraId="168A2F02" w14:textId="77777777" w:rsidTr="00FB4318">
        <w:trPr>
          <w:cantSplit/>
          <w:tblHeader/>
          <w:jc w:val="center"/>
        </w:trPr>
        <w:tc>
          <w:tcPr>
            <w:tcW w:w="911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14:paraId="0A486653" w14:textId="77777777" w:rsidR="00E40557" w:rsidRPr="00DA0F99" w:rsidRDefault="00E40557" w:rsidP="00FB4318">
            <w:pPr>
              <w:adjustRightInd w:val="0"/>
              <w:ind w:left="86"/>
              <w:jc w:val="both"/>
              <w:rPr>
                <w:color w:val="000000"/>
              </w:rPr>
            </w:pPr>
          </w:p>
        </w:tc>
      </w:tr>
      <w:tr w:rsidR="00E40557" w:rsidRPr="005561CF" w14:paraId="68736B8F" w14:textId="77777777" w:rsidTr="00FB4318">
        <w:trPr>
          <w:cantSplit/>
          <w:tblHeader/>
          <w:jc w:val="center"/>
        </w:trPr>
        <w:tc>
          <w:tcPr>
            <w:tcW w:w="324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4E3A23B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2777E71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C</w:t>
            </w:r>
            <w:r>
              <w:rPr>
                <w:color w:val="000000"/>
              </w:rPr>
              <w:t>isgender</w:t>
            </w:r>
            <w:r w:rsidRPr="00DA0F99">
              <w:rPr>
                <w:color w:val="000000"/>
              </w:rPr>
              <w:br/>
              <w:t>(N=796)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3DEA04A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Transgender</w:t>
            </w:r>
            <w:r w:rsidRPr="00DA0F99">
              <w:rPr>
                <w:color w:val="000000"/>
              </w:rPr>
              <w:br/>
              <w:t>(N=796)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55C1283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Total</w:t>
            </w:r>
            <w:r w:rsidRPr="00DA0F99">
              <w:rPr>
                <w:color w:val="000000"/>
              </w:rPr>
              <w:br/>
              <w:t>(N=1592)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bottom"/>
          </w:tcPr>
          <w:p w14:paraId="6E30FD5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P-value</w:t>
            </w:r>
          </w:p>
        </w:tc>
      </w:tr>
      <w:tr w:rsidR="00E40557" w:rsidRPr="005561CF" w14:paraId="6D769D7A" w14:textId="77777777" w:rsidTr="00FB4318">
        <w:trPr>
          <w:cantSplit/>
          <w:jc w:val="center"/>
        </w:trPr>
        <w:tc>
          <w:tcPr>
            <w:tcW w:w="324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EF24A75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Total operation time</w:t>
            </w:r>
          </w:p>
        </w:tc>
        <w:tc>
          <w:tcPr>
            <w:tcW w:w="159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01F277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63B076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198EE1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2F1B34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&lt;.001</w:t>
            </w:r>
            <w:r w:rsidRPr="00DA0F99">
              <w:rPr>
                <w:color w:val="000000"/>
                <w:vertAlign w:val="superscript"/>
              </w:rPr>
              <w:t>1</w:t>
            </w:r>
          </w:p>
        </w:tc>
      </w:tr>
      <w:tr w:rsidR="00E40557" w:rsidRPr="005561CF" w14:paraId="150EBAF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A8446F4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FA305B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C1FEA5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F6D0A4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1592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530328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3713FC5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263983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Median (IQR)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95CD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97.0 (76.0, 126.0)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EC50F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113.0 (86.5, 144.0)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EA126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105.0 (82.0, 136.0)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D0E5F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A91BE9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4C38E5D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Range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D393E9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30.0, 452.0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822A7D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9.0, 701.0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8D57B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9.0, 701.0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D6AF04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051CE72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49BA64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05AD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29625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AD751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72185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C02F26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DB7378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Length of total hospital stay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E988F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337C19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0BC77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7EF8D0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&lt;.001</w:t>
            </w:r>
            <w:r w:rsidRPr="00DA0F99">
              <w:rPr>
                <w:color w:val="000000"/>
                <w:vertAlign w:val="superscript"/>
              </w:rPr>
              <w:t>1</w:t>
            </w:r>
          </w:p>
        </w:tc>
      </w:tr>
      <w:tr w:rsidR="00E40557" w:rsidRPr="005561CF" w14:paraId="6BB36BC4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195818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5556E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4A38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316AC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AF34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933BF2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D3A25FA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Median (IQR)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ACFD7B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1.0 (0.0, 1.0)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2925C0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0.0 (0.0, 1.0)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3E1FB6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0.0 (0.0, 1.0)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F77278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9639ED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393107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Range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ACF0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0.0, 30.0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85388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0.0, 18.0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D7607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0.0, 30.0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9CE75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1AE8F7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DD26F35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0125D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014633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92F403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4BEAAE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B692D1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C1DF1B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Major complication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8EEB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0ACF8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C7465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E2D74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0.141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1BFF727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CF46A1C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7976CF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781 (98.1%)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73C33C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788 (99.0%)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B9BDA7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1569 (98.6%)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518303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001CF8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D83FEA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18BC5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 (1.9%)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FD2DC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8 (1.0%)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D196D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23 (1.4%)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94796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88FD0B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082BACC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44CE4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4AAF73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DA453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99DDF6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65805BF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646E8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Minor complication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1B10F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7AA8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05D71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1A0D6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0.558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4EAE49F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855EEA0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3B0315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770 (96.7%)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960A4F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774 (97.2%)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BA4E4C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1544 (97.0%)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FE992B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30D1BEA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7D675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CAFE8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26 (3.3%)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943BF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22 (2.8%)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CD5D4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48 (3.0%)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8051E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A08A8F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98AE3D0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052A96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E396F7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C76180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984785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6E9C043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47215D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Superficial surgical site infection (NOTE: Definition change in 2019)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D7BC8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67AB4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21C94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E32D18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0.529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31A6340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25BE28A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A0EB98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783 (98.4%)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1EF369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786 (98.7%)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10E4FE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1569 (98.6%)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D1CB70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04120D7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27AC84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lastRenderedPageBreak/>
              <w:t>Superficial Incisional SSI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21CF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13 (1.6%)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EE27D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10 (1.3%)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7B437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23 (1.4%)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D7F65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D2D23E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39A9DEA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A8E92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4048FF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1510E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935B9F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9C3ABF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C764EF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Deep Incisional SSI (NOTE: Definition change in 2019)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77DCA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588C2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537F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41C8D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0.563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297643C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2A8E8DD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4FA40B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794 (99.7%)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F91DC4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9BBD51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1589 (99.8%)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5EBFDD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EC0C00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12E9E2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Deep Incisional SSI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A34C9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 (0.3%)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BEB76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8F46E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3 (0.2%)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A1081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23B6FB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3930283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9D44A1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02BEAF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FE0E01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100AEB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0751B2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3A3D2F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Organ Space SSI (NOTE: Definition change in 2019)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4A35C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FDD6F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2C296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3C46C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0.051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2018A73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79EE070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514F08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786 (98.7%)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F5CE5C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793 (99.6%)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9E6EE1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1579 (99.2%)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B498FA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654551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42054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Organ/Space SSI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E9229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10 (1.3%)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DFC57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3 (0.4%)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A6D67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13 (0.8%)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7F9A6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DDCD6C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501E40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8A57C7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FA53EA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161101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3B4102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F196F5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76647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Wound Disruption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8BAC8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667EE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1F1ED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EDE28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0.654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0700684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DD19CA6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7354C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794 (99.7%)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C87891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793 (99.6%)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6A41A4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1587 (99.7%)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091734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D5F857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AE0EF7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Wound Disruption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80EE0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 (0.3%)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38434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3 (0.4%)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79F89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5 (0.3%)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42DE8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56F400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48FBE22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97DF60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053E53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8D998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4746A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7F80AA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F7223C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Pneumonia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E9104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22E56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C8CB8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34218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0.317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6FC030C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BD2F6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D0B65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EEF464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67C72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1591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4FAD8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2070C3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B8F31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Pneumonia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51297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AF70F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8DDEA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A31FC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0E93E7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36C0AD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2E8E62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BD205F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33AA2A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B7DB72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EF6C13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0F5F5C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Unplanned Intubation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CA225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9530B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7B8C2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BD085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0.317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7B3880F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B5EFDE6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lastRenderedPageBreak/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63F2CC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0A4DDE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FE1AF1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1591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00642A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0176D62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B99F8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Unplanned Intubation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A300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8032B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556B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27D717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F652AC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7022335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80D72F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70009F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78BA80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3B9866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0109D21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26F195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Pulmonary Embolism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0E9A1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39A68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B6DBA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15F94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2319FF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0CCC0DF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A101E0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75CD10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ECBD55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CC3E4E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B199BA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311C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5E2F4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496A4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FD0D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7B528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62621D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075E9C7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Ventilator &gt; 48Hours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6965E6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1B0202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CCD913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548D52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F13220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ED2BCB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8B5D9C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7132C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B6346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04C55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D665DA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C0D195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D9224A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A94F2C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F32D3D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BF6FD7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C87208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22A116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Occurrences Postop Dialysis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8A9A4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4DE5C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757F9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AC1AA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63B93FC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6F793AB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2E8F51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E104C4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24A109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E6C16F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36FC024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D12E94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4C9D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F3FE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7346D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0F88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262126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F03B73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Urinary Tract Infection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725ACE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B67ED9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D11BBF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C6539A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0.840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4E4A094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7693677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5B316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783 (98.4%)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3CCE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784 (98.5%)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9B85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1567 (98.4%)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2322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7AEFEC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953F624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Urinary Tract Infection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5167FC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13 (1.6%)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30875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12 (1.5%)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FC558F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25 (1.6%)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0F3E54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4CB0B8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70DE0E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80376A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ECE8D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AE8FE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D4339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0D54173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C87242D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Stroke/CVA with neurological deficit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78380C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AF129F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0E4AFD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03BB32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E9D9A3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0C4A9D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974DE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938E2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C21B3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9B79D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68E2400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F325F3C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A7C7B8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49BD84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9C463A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E30957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2975124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C04CC6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Cardiac Arrest Requiring CPR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E4E332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D363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E6782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9D7B7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3A40FF8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21086C0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lastRenderedPageBreak/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F0E683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6BFDD9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9A5CA9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1592 (100.0%)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85AEF8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CD065C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0575BC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82829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D7C34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6B430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F71AE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9E1021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1DCD31E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Myocardial Infarction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F9BF83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D8F544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A0843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EFC8E0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0.317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3A88D1BE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A6056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E824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07EE9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594E8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1591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258C6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3AFDFB7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DE33CF1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Myocardial Infarction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1A5B80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90B8A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408EB0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52C993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759DB26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A4D813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02348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71BC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E091B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438BD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7D36FD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D394BA5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Blood Transfusion occurrences (2010+)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A17E91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256ADC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55F75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6FDF60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0.083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1BB41BE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755B2D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7944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793 (99.6%)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14EB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75051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1589 (99.8%)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520C7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671DCFF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79F2004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Blood Transfusion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E9C350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3 (0.4%)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9AA7BB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C59349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3 (0.2%)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5422F4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E0E2A9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08155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2EA01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FDF0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DBFF7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E5202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7444FB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083C656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Occurrences Vein Thrombosis Requiring Therapy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A5C8A9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B3C8E6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D30DCD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694030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0.563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5C4CCBA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B25621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9EEA2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88F26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794 (99.7%)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C7E79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1589 (99.8%)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0BFF4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883EBD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92E0B42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Venous Thrombosis Requiring Therapy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67295E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4EE92B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 (0.3%)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F7F6CB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3 (0.2%)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67A9A7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3ED8D4F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FA9A0C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F4B89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9766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20448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5F2CE1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6381FE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F6E0F2C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Sepsis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C48DAD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200F58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9D7FA1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DA1E0C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0.317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2A9E9A9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2BFDC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B3FC4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E338F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0C521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1591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B5FC5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3CC2E37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19DEF9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Sepsis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2FD786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100EDA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BA8BD4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37363A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6575CCA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9E5335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EAEA7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31219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E228D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46C16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A4494D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3390CD7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Septic Shock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AE7CB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6F2F51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1B2066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5AD092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0.317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5D1B7D1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0F42D0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 Complication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831AA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A3350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35AFF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1591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ABBA6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54685BC0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29B2D4F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lastRenderedPageBreak/>
              <w:t>Septic Shock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625E18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649C9D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D2219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360675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F871D1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294BFF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958A8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F0131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184B9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18C69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4CD85C9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D73E8D4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Return to OR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2B7CEF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08B3A7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84F8AB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E88E53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0.826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003EF2B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92229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46125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786 (98.7%)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B37E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785 (98.6%)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DC62A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1571 (98.7%)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C149F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268C7BF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9F1ADCC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7A52CC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10 (1.3%)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6B2881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11 (1.4%)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A1C072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21 (1.3%)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04C34A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B9B93A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7CFE15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2C6AC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095DF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658D8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BF2C5D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35BBA2A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A7B63E0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Unplanned return to OR related vs unrelated to principal operative procedure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AB360C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E950C1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6FE692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9142AD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0.119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5DAA3DA2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5C2E91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Related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73769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8 (80.0%)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98AFA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11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979A1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19 (90.5%)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FF714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8D46323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70B6590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Unrelated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B442CD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 (20.0%)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179F52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EBF7F7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2 (9.5%)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38AA47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3617771D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EC23DD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Missing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28893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786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24B1B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785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C3605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1571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5320A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71091DB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4156F9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EB2543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6A559FF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1E5B1D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13E4AEB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742F085C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B84870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Unplanned return to OR (related or unknown)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BFCE45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59283F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69EA6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F52526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0.489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1EBAE384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4B60A94F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64C0727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788 (99.0%)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DBB39A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785 (98.6%)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29EED3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1573 (98.8%)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5FF505E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22E196F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B70FBB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E3251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8 (1.0%)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1D67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11 (1.4%)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5E7E0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19 (1.2%)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B15E63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16DA9831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D92938F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B33C5CA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C37C581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2A0A7B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784F577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4CBE383A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0D594E" w14:textId="77777777" w:rsidR="00E40557" w:rsidRPr="00DA0F99" w:rsidRDefault="00E40557" w:rsidP="00FB4318">
            <w:pPr>
              <w:adjustRightInd w:val="0"/>
              <w:ind w:left="72"/>
              <w:jc w:val="both"/>
              <w:rPr>
                <w:b/>
                <w:bCs/>
                <w:color w:val="000000"/>
              </w:rPr>
            </w:pPr>
            <w:r w:rsidRPr="00DA0F99">
              <w:rPr>
                <w:b/>
                <w:bCs/>
                <w:color w:val="000000"/>
              </w:rPr>
              <w:t>Death within 30 days</w:t>
            </w:r>
            <w:r w:rsidRPr="00DA0F99">
              <w:rPr>
                <w:color w:val="000000"/>
              </w:rPr>
              <w:t>, n (%)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27E672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C0667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281F9B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512326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0.317</w:t>
            </w:r>
            <w:r w:rsidRPr="00DA0F99">
              <w:rPr>
                <w:color w:val="000000"/>
                <w:vertAlign w:val="superscript"/>
              </w:rPr>
              <w:t>2</w:t>
            </w:r>
          </w:p>
        </w:tc>
      </w:tr>
      <w:tr w:rsidR="00E40557" w:rsidRPr="005561CF" w14:paraId="080244E5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387FF797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No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204A32A0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796 (100.0%)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984E4A3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795 (99.9%)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5A442A1D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1591 (99.9%)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</w:tcPr>
          <w:p w14:paraId="04107FC4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64820597" w14:textId="77777777" w:rsidTr="00FB4318">
        <w:trPr>
          <w:cantSplit/>
          <w:jc w:val="center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19ABA1" w14:textId="77777777" w:rsidR="00E40557" w:rsidRPr="00DA0F99" w:rsidRDefault="00E40557" w:rsidP="00FB4318">
            <w:pPr>
              <w:adjustRightInd w:val="0"/>
              <w:ind w:left="173" w:firstLine="173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Yes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DA204C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0 (0.0%)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15D12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C05EBA9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  <w:r w:rsidRPr="00DA0F99">
              <w:rPr>
                <w:color w:val="000000"/>
              </w:rPr>
              <w:t>1 (0.1%)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2E7D18" w14:textId="77777777" w:rsidR="00E40557" w:rsidRPr="00DA0F99" w:rsidRDefault="00E40557" w:rsidP="00FB4318">
            <w:pPr>
              <w:adjustRightInd w:val="0"/>
              <w:jc w:val="both"/>
              <w:rPr>
                <w:color w:val="000000"/>
              </w:rPr>
            </w:pPr>
          </w:p>
        </w:tc>
      </w:tr>
      <w:tr w:rsidR="00E40557" w:rsidRPr="005561CF" w14:paraId="61E18FD0" w14:textId="77777777" w:rsidTr="00FB4318">
        <w:trPr>
          <w:cantSplit/>
          <w:jc w:val="center"/>
        </w:trPr>
        <w:tc>
          <w:tcPr>
            <w:tcW w:w="91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B1D6611" w14:textId="77777777" w:rsidR="00E40557" w:rsidRPr="00DA0F99" w:rsidRDefault="00E40557" w:rsidP="00FB4318">
            <w:pPr>
              <w:adjustRightInd w:val="0"/>
              <w:ind w:left="86"/>
              <w:jc w:val="both"/>
              <w:rPr>
                <w:color w:val="000000"/>
              </w:rPr>
            </w:pPr>
            <w:r w:rsidRPr="00DA0F99">
              <w:rPr>
                <w:color w:val="000000"/>
                <w:vertAlign w:val="superscript"/>
              </w:rPr>
              <w:t>1</w:t>
            </w:r>
            <w:r w:rsidRPr="00DA0F99">
              <w:rPr>
                <w:color w:val="000000"/>
              </w:rPr>
              <w:t>Kruskal-Wallis p-value; </w:t>
            </w:r>
            <w:r w:rsidRPr="00DA0F99">
              <w:rPr>
                <w:color w:val="000000"/>
                <w:vertAlign w:val="superscript"/>
              </w:rPr>
              <w:t>2</w:t>
            </w:r>
            <w:r w:rsidRPr="00DA0F99">
              <w:rPr>
                <w:color w:val="000000"/>
              </w:rPr>
              <w:t>Chi-Square p-value;</w:t>
            </w:r>
          </w:p>
        </w:tc>
      </w:tr>
    </w:tbl>
    <w:p w14:paraId="1AE01A59" w14:textId="77777777" w:rsidR="009C05E5" w:rsidRDefault="009C05E5"/>
    <w:sectPr w:rsidR="009C05E5" w:rsidSect="009C05E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557"/>
    <w:rsid w:val="002912FB"/>
    <w:rsid w:val="002A3C93"/>
    <w:rsid w:val="007364D7"/>
    <w:rsid w:val="009C05E5"/>
    <w:rsid w:val="00E40557"/>
    <w:rsid w:val="00E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ACD37"/>
  <w15:chartTrackingRefBased/>
  <w15:docId w15:val="{EC4C4673-0CC5-4434-BA09-EE827E1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557"/>
    <w:pPr>
      <w:spacing w:after="200" w:line="276" w:lineRule="auto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299499\AppData\Local\Temp\Templafy\WordVsto\oexbqmnx.dotx" TargetMode="External"/></Relationships>
</file>

<file path=word/theme/theme1.xml><?xml version="1.0" encoding="utf-8"?>
<a:theme xmlns:a="http://schemas.openxmlformats.org/drawingml/2006/main" name="Office Theme">
  <a:themeElements>
    <a:clrScheme name="Custom 1_Mayo Clinic">
      <a:dk1>
        <a:srgbClr val="000000"/>
      </a:dk1>
      <a:lt1>
        <a:srgbClr val="FFFFFF"/>
      </a:lt1>
      <a:dk2>
        <a:srgbClr val="0057B8"/>
      </a:dk2>
      <a:lt2>
        <a:srgbClr val="FFFFFF"/>
      </a:lt2>
      <a:accent1>
        <a:srgbClr val="0057B8"/>
      </a:accent1>
      <a:accent2>
        <a:srgbClr val="009CDE"/>
      </a:accent2>
      <a:accent3>
        <a:srgbClr val="FFC845"/>
      </a:accent3>
      <a:accent4>
        <a:srgbClr val="00873E"/>
      </a:accent4>
      <a:accent5>
        <a:srgbClr val="8246AF"/>
      </a:accent5>
      <a:accent6>
        <a:srgbClr val="E3002B"/>
      </a:accent6>
      <a:hlink>
        <a:srgbClr val="009CDE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TemplafyTemplateConfiguration><![CDATA[{"elementsMetadata":[],"transformationConfigurations":[],"templateName":"Standard Blank Document-MS Default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BDC7B535-78E8-401A-805D-8013DD7CBCD4}">
  <ds:schemaRefs/>
</ds:datastoreItem>
</file>

<file path=customXml/itemProps2.xml><?xml version="1.0" encoding="utf-8"?>
<ds:datastoreItem xmlns:ds="http://schemas.openxmlformats.org/officeDocument/2006/customXml" ds:itemID="{0A69BE30-1B31-4AA8-A8A8-557476A98BEE}">
  <ds:schemaRefs/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oexbqmnx.dotx</Template>
  <TotalTime>0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Narayanamoorthy, Sujatha, M.B.B.S.</dc:creator>
  <cp:keywords/>
  <dc:description/>
  <cp:lastModifiedBy>Narayanamoorthy, Sujatha, M.B.B.S.</cp:lastModifiedBy>
  <cp:revision>1</cp:revision>
  <dcterms:created xsi:type="dcterms:W3CDTF">2025-04-04T21:48:00Z</dcterms:created>
  <dcterms:modified xsi:type="dcterms:W3CDTF">2025-04-04T21:48:00Z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mcbrandtemplates</vt:lpwstr>
  </property>
  <property fmtid="{D5CDD505-2E9C-101B-9397-08002B2CF9AE}" pid="3" name="TemplafyTemplateId">
    <vt:lpwstr>857060844925354760</vt:lpwstr>
  </property>
  <property fmtid="{D5CDD505-2E9C-101B-9397-08002B2CF9AE}" pid="4" name="TemplafyUserProfileId">
    <vt:lpwstr>638259757519398781</vt:lpwstr>
  </property>
  <property fmtid="{D5CDD505-2E9C-101B-9397-08002B2CF9AE}" pid="5" name="TemplafyFromBlank">
    <vt:bool>true</vt:bool>
  </property>
</Properties>
</file>