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1731"/>
        <w:gridCol w:w="1458"/>
        <w:gridCol w:w="1194"/>
        <w:gridCol w:w="1125"/>
        <w:gridCol w:w="1147"/>
        <w:gridCol w:w="1134"/>
        <w:gridCol w:w="1571"/>
      </w:tblGrid>
      <w:tr w:rsidR="00B06ED4" w:rsidRPr="00366F04" w14:paraId="4D4D9A67" w14:textId="77777777" w:rsidTr="00F14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1B1C1951" w14:textId="77777777" w:rsidR="00B06ED4" w:rsidRDefault="00B06ED4" w:rsidP="00B06ED4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</w:p>
          <w:p w14:paraId="4BDA32BD" w14:textId="77777777" w:rsidR="00F14FDE" w:rsidRPr="00366F04" w:rsidRDefault="00F14FDE" w:rsidP="00B06E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58" w:type="dxa"/>
          </w:tcPr>
          <w:p w14:paraId="0CD9687C" w14:textId="77777777" w:rsidR="00B06ED4" w:rsidRPr="00366F04" w:rsidRDefault="00B06ED4" w:rsidP="00B0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bCs w:val="0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Counseled on the history of OASI</w:t>
            </w:r>
          </w:p>
          <w:p w14:paraId="0B8A1F23" w14:textId="77777777" w:rsidR="00B06ED4" w:rsidRPr="000529AD" w:rsidRDefault="00B06ED4" w:rsidP="00B0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0529AD">
              <w:rPr>
                <w:rFonts w:cs="Segoe UI"/>
                <w:b w:val="0"/>
                <w:bCs w:val="0"/>
                <w:color w:val="333333"/>
                <w:sz w:val="18"/>
                <w:szCs w:val="18"/>
              </w:rPr>
              <w:t>(n= 85)</w:t>
            </w:r>
          </w:p>
        </w:tc>
        <w:tc>
          <w:tcPr>
            <w:tcW w:w="1194" w:type="dxa"/>
          </w:tcPr>
          <w:p w14:paraId="4CD93D22" w14:textId="77777777" w:rsidR="00B06ED4" w:rsidRPr="00366F04" w:rsidRDefault="00B06ED4" w:rsidP="00B0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  <w:tc>
          <w:tcPr>
            <w:tcW w:w="1125" w:type="dxa"/>
          </w:tcPr>
          <w:p w14:paraId="450B1CC4" w14:textId="77777777" w:rsidR="00B06ED4" w:rsidRPr="00366F04" w:rsidRDefault="00B06ED4" w:rsidP="00B0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65B55C1" w14:textId="77777777" w:rsidR="00B06ED4" w:rsidRPr="00366F04" w:rsidRDefault="00B06ED4" w:rsidP="00B0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5C30E" w14:textId="77777777" w:rsidR="00B06ED4" w:rsidRPr="00366F04" w:rsidRDefault="00B06ED4" w:rsidP="00B0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  <w:tc>
          <w:tcPr>
            <w:tcW w:w="1571" w:type="dxa"/>
          </w:tcPr>
          <w:p w14:paraId="57489FD0" w14:textId="77777777" w:rsidR="00B06ED4" w:rsidRPr="00366F04" w:rsidRDefault="00B06ED4" w:rsidP="00B0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bCs w:val="0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Not counseled on history of OASI</w:t>
            </w:r>
          </w:p>
          <w:p w14:paraId="1827E374" w14:textId="77777777" w:rsidR="00B06ED4" w:rsidRPr="000529AD" w:rsidRDefault="00B06ED4" w:rsidP="00B0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0529AD">
              <w:rPr>
                <w:rFonts w:cs="Segoe UI"/>
                <w:b w:val="0"/>
                <w:bCs w:val="0"/>
                <w:color w:val="333333"/>
                <w:sz w:val="18"/>
                <w:szCs w:val="18"/>
              </w:rPr>
              <w:t>(n = 133)</w:t>
            </w:r>
          </w:p>
        </w:tc>
      </w:tr>
      <w:tr w:rsidR="00B06ED4" w:rsidRPr="00366F04" w14:paraId="1C4F4211" w14:textId="77777777" w:rsidTr="00F1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35294346" w14:textId="77777777" w:rsidR="00B06ED4" w:rsidRPr="00366F04" w:rsidRDefault="00B06ED4" w:rsidP="00B06E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58" w:type="dxa"/>
          </w:tcPr>
          <w:p w14:paraId="0B06B6D0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  <w:tc>
          <w:tcPr>
            <w:tcW w:w="4600" w:type="dxa"/>
            <w:gridSpan w:val="4"/>
          </w:tcPr>
          <w:p w14:paraId="1BA00FFF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b/>
                <w:bCs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b/>
                <w:bCs/>
                <w:color w:val="333333"/>
                <w:sz w:val="18"/>
                <w:szCs w:val="18"/>
              </w:rPr>
              <w:t>Quality of Counseling</w:t>
            </w:r>
          </w:p>
        </w:tc>
        <w:tc>
          <w:tcPr>
            <w:tcW w:w="1571" w:type="dxa"/>
          </w:tcPr>
          <w:p w14:paraId="66927995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</w:tr>
      <w:tr w:rsidR="00B06ED4" w:rsidRPr="00366F04" w14:paraId="0B30184A" w14:textId="77777777" w:rsidTr="00F14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27A64019" w14:textId="29FA639C" w:rsidR="00B06ED4" w:rsidRPr="00366F04" w:rsidRDefault="00B06ED4" w:rsidP="00B06ED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Subsequent </w:t>
            </w:r>
            <w:r w:rsidR="00C72FD0">
              <w:rPr>
                <w:i/>
                <w:iCs/>
                <w:sz w:val="18"/>
                <w:szCs w:val="18"/>
              </w:rPr>
              <w:t>mode of delivery</w:t>
            </w:r>
          </w:p>
        </w:tc>
        <w:tc>
          <w:tcPr>
            <w:tcW w:w="1458" w:type="dxa"/>
          </w:tcPr>
          <w:p w14:paraId="2FF5C238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  <w:tc>
          <w:tcPr>
            <w:tcW w:w="1194" w:type="dxa"/>
          </w:tcPr>
          <w:p w14:paraId="0228AE99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366F04">
              <w:rPr>
                <w:b/>
                <w:bCs/>
                <w:i/>
                <w:iCs/>
                <w:sz w:val="18"/>
                <w:szCs w:val="18"/>
              </w:rPr>
              <w:t xml:space="preserve">Poor </w:t>
            </w:r>
          </w:p>
          <w:p w14:paraId="6DBEC54C" w14:textId="77777777" w:rsidR="00B06ED4" w:rsidRPr="000529AD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0529AD">
              <w:rPr>
                <w:i/>
                <w:iCs/>
                <w:sz w:val="18"/>
                <w:szCs w:val="18"/>
              </w:rPr>
              <w:t>(n=23)</w:t>
            </w:r>
          </w:p>
        </w:tc>
        <w:tc>
          <w:tcPr>
            <w:tcW w:w="1125" w:type="dxa"/>
          </w:tcPr>
          <w:p w14:paraId="4AA3EAC6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366F04">
              <w:rPr>
                <w:b/>
                <w:bCs/>
                <w:i/>
                <w:iCs/>
                <w:sz w:val="18"/>
                <w:szCs w:val="18"/>
              </w:rPr>
              <w:t>Weak</w:t>
            </w:r>
          </w:p>
          <w:p w14:paraId="0D728992" w14:textId="77777777" w:rsidR="00B06ED4" w:rsidRPr="000529AD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0529AD">
              <w:rPr>
                <w:i/>
                <w:iCs/>
                <w:sz w:val="18"/>
                <w:szCs w:val="18"/>
              </w:rPr>
              <w:t xml:space="preserve">(n=20) </w:t>
            </w:r>
          </w:p>
        </w:tc>
        <w:tc>
          <w:tcPr>
            <w:tcW w:w="1147" w:type="dxa"/>
          </w:tcPr>
          <w:p w14:paraId="7E145F22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366F04">
              <w:rPr>
                <w:b/>
                <w:bCs/>
                <w:i/>
                <w:iCs/>
                <w:sz w:val="18"/>
                <w:szCs w:val="18"/>
              </w:rPr>
              <w:t>Moderate</w:t>
            </w:r>
          </w:p>
          <w:p w14:paraId="6E9284EC" w14:textId="77777777" w:rsidR="00B06ED4" w:rsidRPr="000529AD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0529AD">
              <w:rPr>
                <w:i/>
                <w:iCs/>
                <w:sz w:val="18"/>
                <w:szCs w:val="18"/>
              </w:rPr>
              <w:t>(n=20)</w:t>
            </w:r>
          </w:p>
        </w:tc>
        <w:tc>
          <w:tcPr>
            <w:tcW w:w="1134" w:type="dxa"/>
          </w:tcPr>
          <w:p w14:paraId="06024F65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366F04">
              <w:rPr>
                <w:b/>
                <w:bCs/>
                <w:i/>
                <w:iCs/>
                <w:sz w:val="18"/>
                <w:szCs w:val="18"/>
              </w:rPr>
              <w:t xml:space="preserve">Strong </w:t>
            </w:r>
          </w:p>
          <w:p w14:paraId="21AC7A55" w14:textId="77777777" w:rsidR="00B06ED4" w:rsidRPr="000529AD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0529AD">
              <w:rPr>
                <w:i/>
                <w:iCs/>
                <w:sz w:val="18"/>
                <w:szCs w:val="18"/>
              </w:rPr>
              <w:t xml:space="preserve">(n=22) </w:t>
            </w:r>
          </w:p>
        </w:tc>
        <w:tc>
          <w:tcPr>
            <w:tcW w:w="1571" w:type="dxa"/>
          </w:tcPr>
          <w:p w14:paraId="70DDE1E6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</w:tr>
      <w:tr w:rsidR="00B06ED4" w:rsidRPr="00366F04" w14:paraId="08C29E13" w14:textId="77777777" w:rsidTr="00AD7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shd w:val="clear" w:color="auto" w:fill="F2F2F2" w:themeFill="background1" w:themeFillShade="F2"/>
          </w:tcPr>
          <w:p w14:paraId="4F20795E" w14:textId="77777777" w:rsidR="00B06ED4" w:rsidRPr="00366F04" w:rsidRDefault="00B06ED4" w:rsidP="00B06ED4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b w:val="0"/>
                <w:bCs w:val="0"/>
                <w:color w:val="333333"/>
                <w:sz w:val="18"/>
                <w:szCs w:val="18"/>
              </w:rPr>
              <w:t>Spontaneous vaginal delivery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2BDCE49D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63 (74%)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543B303A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21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(91.3%)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7DB60F10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14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(70%)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4C6CCB87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13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(65%)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4C8D77C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15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(68.2%)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27FF5091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120 (90.2%)</w:t>
            </w:r>
          </w:p>
        </w:tc>
      </w:tr>
      <w:tr w:rsidR="00B06ED4" w:rsidRPr="00366F04" w14:paraId="29F548C6" w14:textId="77777777" w:rsidTr="00F14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2D36F8C0" w14:textId="77777777" w:rsidR="00B06ED4" w:rsidRPr="00366F04" w:rsidRDefault="00B06ED4" w:rsidP="00B06ED4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b w:val="0"/>
                <w:bCs w:val="0"/>
                <w:color w:val="333333"/>
                <w:sz w:val="18"/>
                <w:szCs w:val="18"/>
              </w:rPr>
              <w:t>Vacuum assisted vaginal delivery</w:t>
            </w:r>
          </w:p>
        </w:tc>
        <w:tc>
          <w:tcPr>
            <w:tcW w:w="1458" w:type="dxa"/>
          </w:tcPr>
          <w:p w14:paraId="30F199EB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 (1%)</w:t>
            </w:r>
          </w:p>
        </w:tc>
        <w:tc>
          <w:tcPr>
            <w:tcW w:w="1194" w:type="dxa"/>
          </w:tcPr>
          <w:p w14:paraId="3FAAA0BE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(0%)</w:t>
            </w:r>
          </w:p>
        </w:tc>
        <w:tc>
          <w:tcPr>
            <w:tcW w:w="1125" w:type="dxa"/>
          </w:tcPr>
          <w:p w14:paraId="0FE560BC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(0%)</w:t>
            </w:r>
          </w:p>
        </w:tc>
        <w:tc>
          <w:tcPr>
            <w:tcW w:w="1147" w:type="dxa"/>
          </w:tcPr>
          <w:p w14:paraId="6DBCB940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(0%)</w:t>
            </w:r>
          </w:p>
        </w:tc>
        <w:tc>
          <w:tcPr>
            <w:tcW w:w="1134" w:type="dxa"/>
          </w:tcPr>
          <w:p w14:paraId="7C1BCBD9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</w:t>
            </w:r>
            <w:r>
              <w:rPr>
                <w:rFonts w:cs="Segoe UI"/>
                <w:color w:val="333333"/>
                <w:sz w:val="18"/>
                <w:szCs w:val="18"/>
              </w:rPr>
              <w:t>(4.5%)</w:t>
            </w:r>
          </w:p>
        </w:tc>
        <w:tc>
          <w:tcPr>
            <w:tcW w:w="1571" w:type="dxa"/>
          </w:tcPr>
          <w:p w14:paraId="516850EC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6 (4.5%)</w:t>
            </w:r>
          </w:p>
        </w:tc>
      </w:tr>
      <w:tr w:rsidR="00B06ED4" w:rsidRPr="00366F04" w14:paraId="5727006B" w14:textId="77777777" w:rsidTr="00AD7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shd w:val="clear" w:color="auto" w:fill="F2F2F2" w:themeFill="background1" w:themeFillShade="F2"/>
          </w:tcPr>
          <w:p w14:paraId="41F5A201" w14:textId="77777777" w:rsidR="00B06ED4" w:rsidRPr="00366F04" w:rsidRDefault="00B06ED4" w:rsidP="00B06ED4">
            <w:pPr>
              <w:rPr>
                <w:rFonts w:cs="Segoe UI"/>
                <w:b w:val="0"/>
                <w:bCs w:val="0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b w:val="0"/>
                <w:bCs w:val="0"/>
                <w:color w:val="333333"/>
                <w:sz w:val="18"/>
                <w:szCs w:val="18"/>
              </w:rPr>
              <w:t xml:space="preserve">Forceps assisted vaginal delivery 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0754E48C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5ED07CB7" w14:textId="77777777" w:rsidR="00B06ED4" w:rsidRPr="00366F04" w:rsidRDefault="00B06ED4" w:rsidP="00B06ED4">
            <w:pPr>
              <w:tabs>
                <w:tab w:val="center" w:pos="1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(0%) 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7F4D589C" w14:textId="77777777" w:rsidR="00B06ED4" w:rsidRPr="00366F04" w:rsidRDefault="00B06ED4" w:rsidP="00B06ED4">
            <w:pPr>
              <w:tabs>
                <w:tab w:val="center" w:pos="1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(0%)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554D5A99" w14:textId="77777777" w:rsidR="00B06ED4" w:rsidRPr="00366F04" w:rsidRDefault="00B06ED4" w:rsidP="00B06ED4">
            <w:pPr>
              <w:tabs>
                <w:tab w:val="center" w:pos="1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(0%)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399783A" w14:textId="77777777" w:rsidR="00B06ED4" w:rsidRPr="00366F04" w:rsidRDefault="00B06ED4" w:rsidP="00B06ED4">
            <w:pPr>
              <w:tabs>
                <w:tab w:val="center" w:pos="1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(0%)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01A5F7FB" w14:textId="77777777" w:rsidR="00B06ED4" w:rsidRPr="00366F04" w:rsidRDefault="00B06ED4" w:rsidP="00B06ED4">
            <w:pPr>
              <w:tabs>
                <w:tab w:val="center" w:pos="1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  <w:r w:rsidRPr="00366F04">
              <w:rPr>
                <w:rFonts w:cs="Segoe UI"/>
                <w:color w:val="333333"/>
                <w:sz w:val="18"/>
                <w:szCs w:val="18"/>
              </w:rPr>
              <w:tab/>
            </w:r>
          </w:p>
        </w:tc>
      </w:tr>
      <w:tr w:rsidR="00B06ED4" w:rsidRPr="00366F04" w14:paraId="03C9BB0A" w14:textId="77777777" w:rsidTr="00F14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tcBorders>
              <w:bottom w:val="single" w:sz="4" w:space="0" w:color="7F7F7F" w:themeColor="text1" w:themeTint="80"/>
            </w:tcBorders>
          </w:tcPr>
          <w:p w14:paraId="0E47F778" w14:textId="77777777" w:rsidR="00B06ED4" w:rsidRPr="00366F04" w:rsidRDefault="00B06ED4" w:rsidP="00B06ED4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b w:val="0"/>
                <w:bCs w:val="0"/>
                <w:color w:val="333333"/>
                <w:sz w:val="18"/>
                <w:szCs w:val="18"/>
              </w:rPr>
              <w:t xml:space="preserve">Cesarean delivery </w:t>
            </w:r>
          </w:p>
        </w:tc>
        <w:tc>
          <w:tcPr>
            <w:tcW w:w="1458" w:type="dxa"/>
            <w:tcBorders>
              <w:bottom w:val="single" w:sz="4" w:space="0" w:color="7F7F7F" w:themeColor="text1" w:themeTint="80"/>
            </w:tcBorders>
          </w:tcPr>
          <w:p w14:paraId="79ED796D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21 (25%)</w:t>
            </w:r>
          </w:p>
        </w:tc>
        <w:tc>
          <w:tcPr>
            <w:tcW w:w="1194" w:type="dxa"/>
            <w:tcBorders>
              <w:bottom w:val="single" w:sz="4" w:space="0" w:color="7F7F7F" w:themeColor="text1" w:themeTint="80"/>
            </w:tcBorders>
          </w:tcPr>
          <w:p w14:paraId="26584BB3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sz w:val="18"/>
                <w:szCs w:val="18"/>
              </w:rPr>
              <w:t>2 (8.7%)</w:t>
            </w:r>
          </w:p>
        </w:tc>
        <w:tc>
          <w:tcPr>
            <w:tcW w:w="1125" w:type="dxa"/>
            <w:tcBorders>
              <w:bottom w:val="single" w:sz="4" w:space="0" w:color="7F7F7F" w:themeColor="text1" w:themeTint="80"/>
            </w:tcBorders>
          </w:tcPr>
          <w:p w14:paraId="245CEAAB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sz w:val="18"/>
                <w:szCs w:val="18"/>
              </w:rPr>
              <w:t xml:space="preserve">6 (30%) </w:t>
            </w:r>
          </w:p>
        </w:tc>
        <w:tc>
          <w:tcPr>
            <w:tcW w:w="1147" w:type="dxa"/>
            <w:tcBorders>
              <w:bottom w:val="single" w:sz="4" w:space="0" w:color="7F7F7F" w:themeColor="text1" w:themeTint="80"/>
            </w:tcBorders>
          </w:tcPr>
          <w:p w14:paraId="1BA37764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sz w:val="18"/>
                <w:szCs w:val="18"/>
              </w:rPr>
              <w:t>7 (35%)</w:t>
            </w:r>
          </w:p>
        </w:tc>
        <w:tc>
          <w:tcPr>
            <w:tcW w:w="1134" w:type="dxa"/>
            <w:tcBorders>
              <w:bottom w:val="single" w:sz="4" w:space="0" w:color="7F7F7F" w:themeColor="text1" w:themeTint="80"/>
            </w:tcBorders>
          </w:tcPr>
          <w:p w14:paraId="692805ED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sz w:val="18"/>
                <w:szCs w:val="18"/>
              </w:rPr>
              <w:t xml:space="preserve">6 (27.3%) </w:t>
            </w:r>
          </w:p>
        </w:tc>
        <w:tc>
          <w:tcPr>
            <w:tcW w:w="1571" w:type="dxa"/>
            <w:tcBorders>
              <w:bottom w:val="single" w:sz="4" w:space="0" w:color="7F7F7F" w:themeColor="text1" w:themeTint="80"/>
            </w:tcBorders>
          </w:tcPr>
          <w:p w14:paraId="3F7843B1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7 (5.3%)</w:t>
            </w:r>
          </w:p>
        </w:tc>
      </w:tr>
      <w:tr w:rsidR="00B06ED4" w:rsidRPr="00366F04" w14:paraId="4BD719D4" w14:textId="77777777" w:rsidTr="00DA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D192B06" w14:textId="77777777" w:rsidR="00B06ED4" w:rsidRPr="00751F86" w:rsidRDefault="00B06ED4" w:rsidP="00B06ED4">
            <w:pPr>
              <w:jc w:val="right"/>
              <w:rPr>
                <w:rFonts w:cs="Segoe UI"/>
                <w:bCs w:val="0"/>
                <w:i/>
                <w:iCs/>
                <w:color w:val="333333"/>
                <w:sz w:val="18"/>
                <w:szCs w:val="18"/>
              </w:rPr>
            </w:pPr>
            <w:r w:rsidRPr="0019029D">
              <w:rPr>
                <w:rFonts w:cs="Segoe UI"/>
                <w:i/>
                <w:iCs/>
                <w:color w:val="333333"/>
                <w:sz w:val="18"/>
                <w:szCs w:val="18"/>
              </w:rPr>
              <w:t>Indication for cesarean delivery</w:t>
            </w:r>
          </w:p>
        </w:tc>
        <w:tc>
          <w:tcPr>
            <w:tcW w:w="145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9946E73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E5E39EC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FE0EE3A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31FD23B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6D0ECE3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  <w:tc>
          <w:tcPr>
            <w:tcW w:w="1571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81C96F0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</w:p>
        </w:tc>
      </w:tr>
      <w:tr w:rsidR="00B06ED4" w:rsidRPr="00366F04" w14:paraId="0BEB0B5F" w14:textId="77777777" w:rsidTr="00DA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tcBorders>
              <w:top w:val="double" w:sz="4" w:space="0" w:color="auto"/>
            </w:tcBorders>
          </w:tcPr>
          <w:p w14:paraId="1606AD0A" w14:textId="77777777" w:rsidR="00B06ED4" w:rsidRPr="00366F04" w:rsidRDefault="00B06ED4" w:rsidP="00B06ED4">
            <w:pPr>
              <w:jc w:val="right"/>
              <w:rPr>
                <w:rFonts w:cs="Segoe UI"/>
                <w:b w:val="0"/>
                <w:bCs w:val="0"/>
                <w:i/>
                <w:iCs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b w:val="0"/>
                <w:bCs w:val="0"/>
                <w:i/>
                <w:iCs/>
                <w:color w:val="333333"/>
                <w:sz w:val="18"/>
                <w:szCs w:val="18"/>
              </w:rPr>
              <w:t>    History of OASI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14:paraId="19291600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13 (61.9%)</w:t>
            </w:r>
          </w:p>
        </w:tc>
        <w:tc>
          <w:tcPr>
            <w:tcW w:w="1194" w:type="dxa"/>
            <w:tcBorders>
              <w:top w:val="double" w:sz="4" w:space="0" w:color="auto"/>
            </w:tcBorders>
          </w:tcPr>
          <w:p w14:paraId="583DCEC6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sz w:val="18"/>
                <w:szCs w:val="18"/>
              </w:rPr>
              <w:t>0 (0%)</w:t>
            </w:r>
          </w:p>
        </w:tc>
        <w:tc>
          <w:tcPr>
            <w:tcW w:w="1125" w:type="dxa"/>
            <w:tcBorders>
              <w:top w:val="double" w:sz="4" w:space="0" w:color="auto"/>
            </w:tcBorders>
          </w:tcPr>
          <w:p w14:paraId="5632546D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sz w:val="18"/>
                <w:szCs w:val="18"/>
              </w:rPr>
              <w:t>3 (</w:t>
            </w:r>
            <w:r>
              <w:rPr>
                <w:sz w:val="18"/>
                <w:szCs w:val="18"/>
              </w:rPr>
              <w:t>50</w:t>
            </w:r>
            <w:r w:rsidRPr="00366F04">
              <w:rPr>
                <w:sz w:val="18"/>
                <w:szCs w:val="18"/>
              </w:rPr>
              <w:t>% )</w:t>
            </w:r>
          </w:p>
        </w:tc>
        <w:tc>
          <w:tcPr>
            <w:tcW w:w="1147" w:type="dxa"/>
            <w:tcBorders>
              <w:top w:val="double" w:sz="4" w:space="0" w:color="auto"/>
            </w:tcBorders>
          </w:tcPr>
          <w:p w14:paraId="63DDB2E9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sz w:val="18"/>
                <w:szCs w:val="18"/>
              </w:rPr>
              <w:t>6 (</w:t>
            </w:r>
            <w:r>
              <w:rPr>
                <w:sz w:val="18"/>
                <w:szCs w:val="18"/>
              </w:rPr>
              <w:t>85.8</w:t>
            </w:r>
            <w:r w:rsidRPr="00366F04">
              <w:rPr>
                <w:sz w:val="18"/>
                <w:szCs w:val="18"/>
              </w:rPr>
              <w:t xml:space="preserve">%)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B258244" w14:textId="75462058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sz w:val="18"/>
                <w:szCs w:val="18"/>
              </w:rPr>
              <w:t>4 (</w:t>
            </w:r>
            <w:r w:rsidR="00C34A8A">
              <w:rPr>
                <w:sz w:val="18"/>
                <w:szCs w:val="18"/>
              </w:rPr>
              <w:t>66.</w:t>
            </w:r>
            <w:r w:rsidR="00C76F88">
              <w:rPr>
                <w:sz w:val="18"/>
                <w:szCs w:val="18"/>
              </w:rPr>
              <w:t>6</w:t>
            </w:r>
            <w:r w:rsidRPr="00366F04">
              <w:rPr>
                <w:sz w:val="18"/>
                <w:szCs w:val="18"/>
              </w:rPr>
              <w:t xml:space="preserve">%) </w:t>
            </w:r>
          </w:p>
        </w:tc>
        <w:tc>
          <w:tcPr>
            <w:tcW w:w="1571" w:type="dxa"/>
            <w:tcBorders>
              <w:top w:val="double" w:sz="4" w:space="0" w:color="auto"/>
            </w:tcBorders>
          </w:tcPr>
          <w:p w14:paraId="79033A93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</w:tr>
      <w:tr w:rsidR="00B06ED4" w:rsidRPr="00366F04" w14:paraId="2C80C63E" w14:textId="77777777" w:rsidTr="00AD7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shd w:val="clear" w:color="auto" w:fill="F2F2F2" w:themeFill="background1" w:themeFillShade="F2"/>
          </w:tcPr>
          <w:p w14:paraId="531FF9A0" w14:textId="77777777" w:rsidR="00B06ED4" w:rsidRPr="00366F04" w:rsidRDefault="00B06ED4" w:rsidP="00B06ED4">
            <w:pPr>
              <w:jc w:val="right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b w:val="0"/>
                <w:bCs w:val="0"/>
                <w:i/>
                <w:iCs/>
                <w:color w:val="333333"/>
                <w:sz w:val="18"/>
                <w:szCs w:val="18"/>
              </w:rPr>
              <w:t>    Other fetal indication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0CB85F39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5 (23.8%)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1829B6FF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(50%)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135E0B56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(33.3%)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19E5ACA6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(14.2%)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B1D1DF2" w14:textId="4EED70E5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</w:t>
            </w:r>
            <w:r w:rsidR="00C34A8A">
              <w:rPr>
                <w:rFonts w:cs="Segoe UI"/>
                <w:color w:val="333333"/>
                <w:sz w:val="18"/>
                <w:szCs w:val="18"/>
              </w:rPr>
              <w:t xml:space="preserve"> (1</w:t>
            </w:r>
            <w:r w:rsidR="00106FFB">
              <w:rPr>
                <w:rFonts w:cs="Segoe UI"/>
                <w:color w:val="333333"/>
                <w:sz w:val="18"/>
                <w:szCs w:val="18"/>
              </w:rPr>
              <w:t>6.</w:t>
            </w:r>
            <w:r w:rsidR="007C5091">
              <w:rPr>
                <w:rFonts w:cs="Segoe UI"/>
                <w:color w:val="333333"/>
                <w:sz w:val="18"/>
                <w:szCs w:val="18"/>
              </w:rPr>
              <w:t>7</w:t>
            </w:r>
            <w:r w:rsidR="00C34A8A">
              <w:rPr>
                <w:rFonts w:cs="Segoe UI"/>
                <w:color w:val="333333"/>
                <w:sz w:val="18"/>
                <w:szCs w:val="18"/>
              </w:rPr>
              <w:t>%)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471284E3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 (28.6%)</w:t>
            </w:r>
          </w:p>
        </w:tc>
      </w:tr>
      <w:tr w:rsidR="00B06ED4" w:rsidRPr="00366F04" w14:paraId="5FD32965" w14:textId="77777777" w:rsidTr="00AD7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shd w:val="clear" w:color="auto" w:fill="auto"/>
          </w:tcPr>
          <w:p w14:paraId="634200D4" w14:textId="77777777" w:rsidR="00B06ED4" w:rsidRPr="00366F04" w:rsidRDefault="00B06ED4" w:rsidP="00B06ED4">
            <w:pPr>
              <w:jc w:val="right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b w:val="0"/>
                <w:bCs w:val="0"/>
                <w:i/>
                <w:iCs/>
                <w:color w:val="333333"/>
                <w:sz w:val="18"/>
                <w:szCs w:val="18"/>
              </w:rPr>
              <w:t>    Other maternal indication</w:t>
            </w:r>
          </w:p>
        </w:tc>
        <w:tc>
          <w:tcPr>
            <w:tcW w:w="1458" w:type="dxa"/>
            <w:shd w:val="clear" w:color="auto" w:fill="auto"/>
          </w:tcPr>
          <w:p w14:paraId="7626A9B7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 (4.8%)</w:t>
            </w:r>
          </w:p>
        </w:tc>
        <w:tc>
          <w:tcPr>
            <w:tcW w:w="1194" w:type="dxa"/>
            <w:shd w:val="clear" w:color="auto" w:fill="auto"/>
          </w:tcPr>
          <w:p w14:paraId="4449D67A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(0%)</w:t>
            </w:r>
          </w:p>
        </w:tc>
        <w:tc>
          <w:tcPr>
            <w:tcW w:w="1125" w:type="dxa"/>
            <w:shd w:val="clear" w:color="auto" w:fill="auto"/>
          </w:tcPr>
          <w:p w14:paraId="5FB5F00B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(16.7%)</w:t>
            </w:r>
          </w:p>
        </w:tc>
        <w:tc>
          <w:tcPr>
            <w:tcW w:w="1147" w:type="dxa"/>
            <w:shd w:val="clear" w:color="auto" w:fill="auto"/>
          </w:tcPr>
          <w:p w14:paraId="61C6BB26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1134" w:type="dxa"/>
            <w:shd w:val="clear" w:color="auto" w:fill="auto"/>
          </w:tcPr>
          <w:p w14:paraId="200682E3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1571" w:type="dxa"/>
            <w:shd w:val="clear" w:color="auto" w:fill="auto"/>
          </w:tcPr>
          <w:p w14:paraId="34D80F63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 (28.6%)</w:t>
            </w:r>
          </w:p>
        </w:tc>
      </w:tr>
      <w:tr w:rsidR="00B06ED4" w:rsidRPr="00366F04" w14:paraId="42C1560F" w14:textId="77777777" w:rsidTr="00AD7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shd w:val="clear" w:color="auto" w:fill="F2F2F2" w:themeFill="background1" w:themeFillShade="F2"/>
          </w:tcPr>
          <w:p w14:paraId="42E7FF21" w14:textId="77777777" w:rsidR="00B06ED4" w:rsidRPr="00366F04" w:rsidRDefault="00B06ED4" w:rsidP="00B06ED4">
            <w:pPr>
              <w:jc w:val="right"/>
              <w:rPr>
                <w:rFonts w:cs="Segoe UI"/>
                <w:i/>
                <w:iCs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b w:val="0"/>
                <w:bCs w:val="0"/>
                <w:i/>
                <w:iCs/>
                <w:color w:val="333333"/>
                <w:sz w:val="18"/>
                <w:szCs w:val="18"/>
              </w:rPr>
              <w:t>Intrapartum event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59335CFE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 (9.5%)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22836B78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</w:t>
            </w:r>
            <w:r>
              <w:rPr>
                <w:rFonts w:cs="Segoe UI"/>
                <w:color w:val="333333"/>
                <w:sz w:val="18"/>
                <w:szCs w:val="18"/>
              </w:rPr>
              <w:t xml:space="preserve"> (50%)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26BEA35A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7A8D757B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E0DBF5" w14:textId="75A4B078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</w:t>
            </w:r>
            <w:r w:rsidR="00C34A8A">
              <w:rPr>
                <w:rFonts w:cs="Segoe UI"/>
                <w:color w:val="333333"/>
                <w:sz w:val="18"/>
                <w:szCs w:val="18"/>
              </w:rPr>
              <w:t xml:space="preserve"> (1</w:t>
            </w:r>
            <w:r w:rsidR="00106FFB">
              <w:rPr>
                <w:rFonts w:cs="Segoe UI"/>
                <w:color w:val="333333"/>
                <w:sz w:val="18"/>
                <w:szCs w:val="18"/>
              </w:rPr>
              <w:t>6.</w:t>
            </w:r>
            <w:r w:rsidR="007C5091">
              <w:rPr>
                <w:rFonts w:cs="Segoe UI"/>
                <w:color w:val="333333"/>
                <w:sz w:val="18"/>
                <w:szCs w:val="18"/>
              </w:rPr>
              <w:t>7</w:t>
            </w:r>
            <w:r w:rsidR="00C34A8A">
              <w:rPr>
                <w:rFonts w:cs="Segoe UI"/>
                <w:color w:val="333333"/>
                <w:sz w:val="18"/>
                <w:szCs w:val="18"/>
              </w:rPr>
              <w:t>%)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10630B9E" w14:textId="77777777" w:rsidR="00B06ED4" w:rsidRPr="00366F04" w:rsidRDefault="00B06ED4" w:rsidP="00B0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2 (28.6%)</w:t>
            </w:r>
          </w:p>
        </w:tc>
      </w:tr>
      <w:tr w:rsidR="00B06ED4" w:rsidRPr="00366F04" w14:paraId="16845028" w14:textId="77777777" w:rsidTr="00F14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0E0F56FE" w14:textId="77777777" w:rsidR="00B06ED4" w:rsidRPr="00366F04" w:rsidRDefault="00B06ED4" w:rsidP="00B06ED4">
            <w:pPr>
              <w:jc w:val="right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b w:val="0"/>
                <w:bCs w:val="0"/>
                <w:i/>
                <w:iCs/>
                <w:color w:val="333333"/>
                <w:sz w:val="18"/>
                <w:szCs w:val="18"/>
              </w:rPr>
              <w:t>    Other</w:t>
            </w:r>
          </w:p>
        </w:tc>
        <w:tc>
          <w:tcPr>
            <w:tcW w:w="1458" w:type="dxa"/>
          </w:tcPr>
          <w:p w14:paraId="7D890412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1194" w:type="dxa"/>
          </w:tcPr>
          <w:p w14:paraId="0C6E106B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1125" w:type="dxa"/>
          </w:tcPr>
          <w:p w14:paraId="75787F4E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1147" w:type="dxa"/>
          </w:tcPr>
          <w:p w14:paraId="2AB8DA82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1134" w:type="dxa"/>
          </w:tcPr>
          <w:p w14:paraId="10A37AC8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333333"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0 (0%)</w:t>
            </w:r>
          </w:p>
        </w:tc>
        <w:tc>
          <w:tcPr>
            <w:tcW w:w="1571" w:type="dxa"/>
          </w:tcPr>
          <w:p w14:paraId="6AA9FE0E" w14:textId="77777777" w:rsidR="00B06ED4" w:rsidRPr="00366F04" w:rsidRDefault="00B06ED4" w:rsidP="00B0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6F04">
              <w:rPr>
                <w:rFonts w:cs="Segoe UI"/>
                <w:color w:val="333333"/>
                <w:sz w:val="18"/>
                <w:szCs w:val="18"/>
              </w:rPr>
              <w:t>1 (14.2%)</w:t>
            </w:r>
          </w:p>
        </w:tc>
      </w:tr>
    </w:tbl>
    <w:p w14:paraId="01F1DB41" w14:textId="5BF1CD13" w:rsidR="00B06ED4" w:rsidRDefault="00B06ED4"/>
    <w:sectPr w:rsidR="00B06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D4"/>
    <w:rsid w:val="00013659"/>
    <w:rsid w:val="000529AD"/>
    <w:rsid w:val="00106FFB"/>
    <w:rsid w:val="006E13EC"/>
    <w:rsid w:val="007C5091"/>
    <w:rsid w:val="00AD7F5B"/>
    <w:rsid w:val="00B06ED4"/>
    <w:rsid w:val="00C34A8A"/>
    <w:rsid w:val="00C72FD0"/>
    <w:rsid w:val="00C76F88"/>
    <w:rsid w:val="00DA4B08"/>
    <w:rsid w:val="00F14FDE"/>
    <w:rsid w:val="00F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8F47B"/>
  <w15:chartTrackingRefBased/>
  <w15:docId w15:val="{07C4EFDF-A3F6-417E-8961-032F82E7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ED4"/>
  </w:style>
  <w:style w:type="paragraph" w:styleId="Heading1">
    <w:name w:val="heading 1"/>
    <w:basedOn w:val="Normal"/>
    <w:next w:val="Normal"/>
    <w:link w:val="Heading1Char"/>
    <w:uiPriority w:val="9"/>
    <w:qFormat/>
    <w:rsid w:val="00B0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ED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06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ED4"/>
    <w:rPr>
      <w:sz w:val="20"/>
      <w:szCs w:val="20"/>
    </w:rPr>
  </w:style>
  <w:style w:type="table" w:styleId="PlainTable2">
    <w:name w:val="Plain Table 2"/>
    <w:basedOn w:val="TableNormal"/>
    <w:uiPriority w:val="42"/>
    <w:rsid w:val="00B06E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774</Characters>
  <Application>Microsoft Office Word</Application>
  <DocSecurity>0</DocSecurity>
  <Lines>129</Lines>
  <Paragraphs>94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Freeman</dc:creator>
  <cp:keywords/>
  <dc:description/>
  <cp:lastModifiedBy>Madeline Freeman</cp:lastModifiedBy>
  <cp:revision>13</cp:revision>
  <dcterms:created xsi:type="dcterms:W3CDTF">2025-04-06T21:19:00Z</dcterms:created>
  <dcterms:modified xsi:type="dcterms:W3CDTF">2025-04-06T21:29:00Z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b8c6c3df-16fb-49d3-8148-df9acc54f005</vt:lpwstr>
  </property>
</Properties>
</file>