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pPr w:leftFromText="180" w:rightFromText="180" w:vertAnchor="text" w:horzAnchor="margin" w:tblpY="-287"/>
        <w:tblW w:w="5205" w:type="dxa"/>
        <w:tblLayout w:type="fixed"/>
        <w:tblLook w:val="06A0" w:firstRow="1" w:lastRow="0" w:firstColumn="1" w:lastColumn="0" w:noHBand="1" w:noVBand="1"/>
      </w:tblPr>
      <w:tblGrid>
        <w:gridCol w:w="2445"/>
        <w:gridCol w:w="2760"/>
      </w:tblGrid>
      <w:tr w:rsidR="00045012" w14:paraId="277F91CF" w14:textId="77777777" w:rsidTr="00045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05" w:type="dxa"/>
            <w:gridSpan w:val="2"/>
            <w:tcBorders>
              <w:bottom w:val="single" w:sz="2" w:space="0" w:color="A5C9EB" w:themeColor="text2" w:themeTint="40"/>
            </w:tcBorders>
          </w:tcPr>
          <w:p w14:paraId="1C28540C" w14:textId="6213CE6A" w:rsidR="00045012" w:rsidRPr="00045012" w:rsidRDefault="00045012" w:rsidP="00045012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00045012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Postoperative </w:t>
            </w:r>
            <w:r w:rsidR="00CE542D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surgical</w:t>
            </w:r>
            <w:r w:rsidRPr="00045012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</w:t>
            </w:r>
            <w:r w:rsidR="00CE542D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outcomes</w:t>
            </w:r>
          </w:p>
          <w:p w14:paraId="522D1B5D" w14:textId="77777777" w:rsidR="00045012" w:rsidRPr="00045012" w:rsidRDefault="00045012" w:rsidP="00045012">
            <w:pPr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</w:tc>
      </w:tr>
      <w:tr w:rsidR="00045012" w14:paraId="6AA7B445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64096F90" w14:textId="77777777" w:rsidR="00045012" w:rsidRDefault="00045012" w:rsidP="00045012">
            <w:pPr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7902EA1E">
              <w:rPr>
                <w:rFonts w:asciiTheme="majorHAnsi" w:eastAsiaTheme="majorEastAsia" w:hAnsiTheme="majorHAnsi" w:cstheme="majorBidi"/>
                <w:color w:val="000000" w:themeColor="text1"/>
              </w:rPr>
              <w:t>Characteristic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909DE73" w14:textId="77777777" w:rsidR="00045012" w:rsidRPr="00045012" w:rsidRDefault="00045012" w:rsidP="0004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Median [IQR] or Count (%)</w:t>
            </w:r>
          </w:p>
        </w:tc>
      </w:tr>
      <w:tr w:rsidR="00045012" w14:paraId="3E0AA1D1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EBBBABF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Number of clinic visits after surgery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2F7F8A5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 [2.75]</w:t>
            </w:r>
          </w:p>
        </w:tc>
      </w:tr>
      <w:tr w:rsidR="00045012" w14:paraId="21C92B8A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8EE9A87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Follow-up time (months)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4AB1173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1.5 [4.75]</w:t>
            </w:r>
          </w:p>
        </w:tc>
      </w:tr>
      <w:tr w:rsidR="00045012" w14:paraId="13907A3D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D9820E7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Number of sling adjustments required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0331A9C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[1]</w:t>
            </w:r>
          </w:p>
        </w:tc>
      </w:tr>
      <w:tr w:rsidR="00045012" w14:paraId="6DB9BA1A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8AE260B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Type of adjustments required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BF62A18" w14:textId="77777777" w:rsidR="00045012" w:rsidRPr="00045012" w:rsidRDefault="00045012" w:rsidP="0004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045012" w14:paraId="09C9A967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9255A0E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not adjusted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8FC800F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6 (42.86)</w:t>
            </w:r>
          </w:p>
        </w:tc>
      </w:tr>
      <w:tr w:rsidR="00045012" w14:paraId="7881396B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87481E7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loosened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8A83836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6 (42.86)</w:t>
            </w:r>
          </w:p>
        </w:tc>
      </w:tr>
      <w:tr w:rsidR="00045012" w14:paraId="77BB077D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084BADB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 xml:space="preserve">tightened 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F011622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 (14.29)</w:t>
            </w:r>
          </w:p>
        </w:tc>
      </w:tr>
      <w:tr w:rsidR="00045012" w14:paraId="7E95837C" w14:textId="77777777" w:rsidTr="0004501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D1B5140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Postop visits required before cutting adjustment sutures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C08F46A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 [1]</w:t>
            </w:r>
          </w:p>
        </w:tc>
      </w:tr>
      <w:tr w:rsidR="00045012" w14:paraId="228A744F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8E22B5A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PVR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7A5E68D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20.5 [81.5]</w:t>
            </w:r>
          </w:p>
        </w:tc>
      </w:tr>
      <w:tr w:rsidR="00045012" w14:paraId="6493A0BF" w14:textId="77777777" w:rsidTr="0004501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49CC04F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Global scale of postoperative patient satisfaction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C8A66B8" w14:textId="77777777" w:rsidR="00045012" w:rsidRPr="00045012" w:rsidRDefault="00045012" w:rsidP="0004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045012" w14:paraId="50D9E9EA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E8A9BA0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cured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681139A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12" w14:paraId="76AD2E98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2EF904C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greatly improved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B7F88BA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10 (71.43%)</w:t>
            </w:r>
          </w:p>
        </w:tc>
      </w:tr>
      <w:tr w:rsidR="00045012" w14:paraId="23B0CE28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6CE1740D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somewhat improved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02E1A39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 (21.43)</w:t>
            </w:r>
          </w:p>
        </w:tc>
      </w:tr>
      <w:tr w:rsidR="00045012" w14:paraId="243FB5A0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0E19904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not improved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9B8090A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(7.14)</w:t>
            </w:r>
          </w:p>
        </w:tc>
      </w:tr>
      <w:tr w:rsidR="00045012" w14:paraId="0411AA9F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B2791AB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worsened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80C1F17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12" w14:paraId="25FB2BAF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4CB5394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Postoperative complications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75228FB" w14:textId="77777777" w:rsidR="00045012" w:rsidRPr="00045012" w:rsidRDefault="00045012" w:rsidP="0004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045012" w14:paraId="41340975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FC78DD9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mesh exposure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5999D4B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12" w14:paraId="6B5E6ECB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45BA4B9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groin pain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ACB112B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 (21.43)</w:t>
            </w:r>
          </w:p>
        </w:tc>
      </w:tr>
      <w:tr w:rsidR="00045012" w14:paraId="64F23B9E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0CD4939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urinary retention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E7EE3B3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 (21.43)</w:t>
            </w:r>
          </w:p>
        </w:tc>
      </w:tr>
      <w:tr w:rsidR="00045012" w14:paraId="0866AF37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BE60453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recurrence of SUI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240BB86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(7.14)</w:t>
            </w:r>
          </w:p>
        </w:tc>
      </w:tr>
      <w:tr w:rsidR="00045012" w14:paraId="3B16F62C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665C98E9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vaginal bleeding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96321DE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(7.14)</w:t>
            </w:r>
          </w:p>
        </w:tc>
      </w:tr>
      <w:tr w:rsidR="00045012" w14:paraId="24AD6824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7AEEDC7C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dysuria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88D6D78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(7.14)</w:t>
            </w:r>
          </w:p>
        </w:tc>
      </w:tr>
      <w:tr w:rsidR="00045012" w14:paraId="3049CABD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B80F4DC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urinary tract infection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0D3E7637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2 (14.29)</w:t>
            </w:r>
          </w:p>
        </w:tc>
      </w:tr>
      <w:tr w:rsidR="00045012" w14:paraId="1B58F41D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9F37553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Persistent SUI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BE8C1A0" w14:textId="77777777" w:rsidR="00045012" w:rsidRPr="00045012" w:rsidRDefault="00045012" w:rsidP="0004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045012" w14:paraId="154510F2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E99BFF9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objective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2B667938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12" w14:paraId="5105C6DA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5A7BEDA" w14:textId="77777777" w:rsidR="00045012" w:rsidRDefault="00045012" w:rsidP="00045012">
            <w:pPr>
              <w:jc w:val="right"/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b w:val="0"/>
                <w:bCs w:val="0"/>
                <w:color w:val="000000" w:themeColor="text1"/>
                <w:sz w:val="22"/>
                <w:szCs w:val="22"/>
              </w:rPr>
              <w:t>subjective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F5167BE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3 (21.43)</w:t>
            </w:r>
          </w:p>
        </w:tc>
      </w:tr>
      <w:tr w:rsidR="00045012" w14:paraId="4C8B3140" w14:textId="77777777" w:rsidTr="0004501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65AA8970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Resolution of pre-existing urgency symptoms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5A676B46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5 (35.71)</w:t>
            </w:r>
          </w:p>
        </w:tc>
      </w:tr>
      <w:tr w:rsidR="00045012" w14:paraId="3131355D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12ED2F68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De-novo urgency symptoms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30406360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1 (7.14)</w:t>
            </w:r>
          </w:p>
        </w:tc>
      </w:tr>
      <w:tr w:rsidR="00045012" w14:paraId="38EE1AA3" w14:textId="77777777" w:rsidTr="00045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47D9024F" w14:textId="77777777" w:rsidR="00045012" w:rsidRDefault="00045012" w:rsidP="00045012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CD7860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Sling revision</w:t>
            </w:r>
          </w:p>
        </w:tc>
        <w:tc>
          <w:tcPr>
            <w:tcW w:w="2760" w:type="dxa"/>
            <w:tcBorders>
              <w:top w:val="single" w:sz="2" w:space="0" w:color="A5C9EB" w:themeColor="text2" w:themeTint="40"/>
              <w:left w:val="single" w:sz="2" w:space="0" w:color="A5C9EB" w:themeColor="text2" w:themeTint="40"/>
              <w:bottom w:val="single" w:sz="2" w:space="0" w:color="A5C9EB" w:themeColor="text2" w:themeTint="40"/>
              <w:right w:val="single" w:sz="2" w:space="0" w:color="A5C9EB" w:themeColor="text2" w:themeTint="40"/>
            </w:tcBorders>
          </w:tcPr>
          <w:p w14:paraId="6B3A5C26" w14:textId="77777777" w:rsidR="00045012" w:rsidRPr="00045012" w:rsidRDefault="00045012" w:rsidP="00045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04501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5FEFEE1E" w14:textId="21CEBA94" w:rsidR="00672D85" w:rsidRDefault="00672D85" w:rsidP="3CD78608">
      <w:pPr>
        <w:rPr>
          <w:sz w:val="22"/>
          <w:szCs w:val="22"/>
        </w:rPr>
      </w:pPr>
    </w:p>
    <w:p w14:paraId="2C078E63" w14:textId="29A6CC93" w:rsidR="00672D85" w:rsidRDefault="00672D85" w:rsidP="3CD78608">
      <w:pPr>
        <w:rPr>
          <w:sz w:val="22"/>
          <w:szCs w:val="22"/>
        </w:rPr>
      </w:pPr>
    </w:p>
    <w:sectPr w:rsidR="00672D8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7F03" w14:textId="77777777" w:rsidR="008D681F" w:rsidRDefault="008D681F">
      <w:pPr>
        <w:spacing w:after="0" w:line="240" w:lineRule="auto"/>
      </w:pPr>
      <w:r>
        <w:separator/>
      </w:r>
    </w:p>
  </w:endnote>
  <w:endnote w:type="continuationSeparator" w:id="0">
    <w:p w14:paraId="36D1462C" w14:textId="77777777" w:rsidR="008D681F" w:rsidRDefault="008D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D78608" w14:paraId="37FFED15" w14:textId="77777777" w:rsidTr="3CD78608">
      <w:trPr>
        <w:trHeight w:val="300"/>
      </w:trPr>
      <w:tc>
        <w:tcPr>
          <w:tcW w:w="3120" w:type="dxa"/>
        </w:tcPr>
        <w:p w14:paraId="29285F08" w14:textId="397C664F" w:rsidR="3CD78608" w:rsidRDefault="3CD78608" w:rsidP="3CD78608">
          <w:pPr>
            <w:pStyle w:val="Header"/>
            <w:ind w:left="-115"/>
          </w:pPr>
        </w:p>
      </w:tc>
      <w:tc>
        <w:tcPr>
          <w:tcW w:w="3120" w:type="dxa"/>
        </w:tcPr>
        <w:p w14:paraId="68373949" w14:textId="3B78A64D" w:rsidR="3CD78608" w:rsidRDefault="3CD78608" w:rsidP="3CD78608">
          <w:pPr>
            <w:pStyle w:val="Header"/>
            <w:jc w:val="center"/>
          </w:pPr>
        </w:p>
      </w:tc>
      <w:tc>
        <w:tcPr>
          <w:tcW w:w="3120" w:type="dxa"/>
        </w:tcPr>
        <w:p w14:paraId="3E5F032C" w14:textId="300F0F3D" w:rsidR="3CD78608" w:rsidRDefault="3CD78608" w:rsidP="3CD78608">
          <w:pPr>
            <w:pStyle w:val="Header"/>
            <w:ind w:right="-115"/>
            <w:jc w:val="right"/>
          </w:pPr>
        </w:p>
      </w:tc>
    </w:tr>
  </w:tbl>
  <w:p w14:paraId="6EE35126" w14:textId="24A5C110" w:rsidR="3CD78608" w:rsidRDefault="3CD78608" w:rsidP="3CD78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65ED" w14:textId="77777777" w:rsidR="008D681F" w:rsidRDefault="008D681F">
      <w:pPr>
        <w:spacing w:after="0" w:line="240" w:lineRule="auto"/>
      </w:pPr>
      <w:r>
        <w:separator/>
      </w:r>
    </w:p>
  </w:footnote>
  <w:footnote w:type="continuationSeparator" w:id="0">
    <w:p w14:paraId="1447794D" w14:textId="77777777" w:rsidR="008D681F" w:rsidRDefault="008D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D78608" w14:paraId="7EB23F51" w14:textId="77777777" w:rsidTr="3CD78608">
      <w:trPr>
        <w:trHeight w:val="300"/>
      </w:trPr>
      <w:tc>
        <w:tcPr>
          <w:tcW w:w="3120" w:type="dxa"/>
        </w:tcPr>
        <w:p w14:paraId="1849B286" w14:textId="6816921E" w:rsidR="3CD78608" w:rsidRDefault="3CD78608" w:rsidP="3CD78608">
          <w:pPr>
            <w:pStyle w:val="Header"/>
            <w:ind w:left="-115"/>
          </w:pPr>
        </w:p>
      </w:tc>
      <w:tc>
        <w:tcPr>
          <w:tcW w:w="3120" w:type="dxa"/>
        </w:tcPr>
        <w:p w14:paraId="0B27811A" w14:textId="055678C4" w:rsidR="3CD78608" w:rsidRDefault="3CD78608" w:rsidP="3CD78608">
          <w:pPr>
            <w:pStyle w:val="Header"/>
            <w:jc w:val="center"/>
          </w:pPr>
        </w:p>
      </w:tc>
      <w:tc>
        <w:tcPr>
          <w:tcW w:w="3120" w:type="dxa"/>
        </w:tcPr>
        <w:p w14:paraId="5FA4F3C7" w14:textId="4D4B9757" w:rsidR="3CD78608" w:rsidRDefault="3CD78608" w:rsidP="3CD78608">
          <w:pPr>
            <w:pStyle w:val="Header"/>
            <w:ind w:right="-115"/>
            <w:jc w:val="right"/>
          </w:pPr>
        </w:p>
      </w:tc>
    </w:tr>
  </w:tbl>
  <w:p w14:paraId="33DF8405" w14:textId="205DD8DF" w:rsidR="3CD78608" w:rsidRDefault="3CD78608" w:rsidP="3CD786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+C71kGq6UwV8C" int2:id="OcDqxmOb">
      <int2:state int2:value="Rejected" int2:type="AugLoop_Text_Critique"/>
    </int2:textHash>
    <int2:textHash int2:hashCode="qZgroNnlUawodf" int2:id="lALhlbs0">
      <int2:state int2:value="Rejected" int2:type="AugLoop_Text_Critique"/>
    </int2:textHash>
    <int2:textHash int2:hashCode="PCUher5a+pHvSq" int2:id="IYq1goML">
      <int2:state int2:value="Rejected" int2:type="AugLoop_Text_Critique"/>
    </int2:textHash>
    <int2:textHash int2:hashCode="jJ9nCPp6QvdG/h" int2:id="ephc2Nt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37006"/>
    <w:multiLevelType w:val="hybridMultilevel"/>
    <w:tmpl w:val="817CF8D8"/>
    <w:lvl w:ilvl="0" w:tplc="273EC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C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6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AF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43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5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68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0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8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9F473"/>
    <w:rsid w:val="000009F1"/>
    <w:rsid w:val="00045012"/>
    <w:rsid w:val="00060818"/>
    <w:rsid w:val="0012355A"/>
    <w:rsid w:val="00150E84"/>
    <w:rsid w:val="00156123"/>
    <w:rsid w:val="00160E36"/>
    <w:rsid w:val="00295307"/>
    <w:rsid w:val="00467838"/>
    <w:rsid w:val="004D5198"/>
    <w:rsid w:val="00672D85"/>
    <w:rsid w:val="006C2BE0"/>
    <w:rsid w:val="00782CB9"/>
    <w:rsid w:val="00814DE5"/>
    <w:rsid w:val="00824202"/>
    <w:rsid w:val="008D681F"/>
    <w:rsid w:val="00913724"/>
    <w:rsid w:val="00A2700B"/>
    <w:rsid w:val="00B20E71"/>
    <w:rsid w:val="00B512C4"/>
    <w:rsid w:val="00BF2E45"/>
    <w:rsid w:val="00C00106"/>
    <w:rsid w:val="00C00699"/>
    <w:rsid w:val="00C6303A"/>
    <w:rsid w:val="00CB2826"/>
    <w:rsid w:val="00CC1943"/>
    <w:rsid w:val="00CE542D"/>
    <w:rsid w:val="00D6065A"/>
    <w:rsid w:val="00DF5BC6"/>
    <w:rsid w:val="00E62CEA"/>
    <w:rsid w:val="00EE01F5"/>
    <w:rsid w:val="018A59C9"/>
    <w:rsid w:val="027152FA"/>
    <w:rsid w:val="02B1D969"/>
    <w:rsid w:val="032471F4"/>
    <w:rsid w:val="0432DF96"/>
    <w:rsid w:val="04920DB2"/>
    <w:rsid w:val="058DD4FA"/>
    <w:rsid w:val="08E50BC3"/>
    <w:rsid w:val="0A0C9438"/>
    <w:rsid w:val="0A9FAC7D"/>
    <w:rsid w:val="0C32422B"/>
    <w:rsid w:val="0C72D127"/>
    <w:rsid w:val="0D225DD3"/>
    <w:rsid w:val="0D7CA4BC"/>
    <w:rsid w:val="0DD78967"/>
    <w:rsid w:val="0DDAFF03"/>
    <w:rsid w:val="0E7CF582"/>
    <w:rsid w:val="0F4F24E4"/>
    <w:rsid w:val="104516C0"/>
    <w:rsid w:val="10B110C0"/>
    <w:rsid w:val="12392491"/>
    <w:rsid w:val="12C1EC9F"/>
    <w:rsid w:val="13AB129A"/>
    <w:rsid w:val="1417A40E"/>
    <w:rsid w:val="14B3D540"/>
    <w:rsid w:val="151DDA83"/>
    <w:rsid w:val="1566432C"/>
    <w:rsid w:val="169CEB07"/>
    <w:rsid w:val="16E02E82"/>
    <w:rsid w:val="1843007E"/>
    <w:rsid w:val="1868392C"/>
    <w:rsid w:val="18FABD5B"/>
    <w:rsid w:val="1A089877"/>
    <w:rsid w:val="1AA58C72"/>
    <w:rsid w:val="1B7523F3"/>
    <w:rsid w:val="1D6087F7"/>
    <w:rsid w:val="1EE251F0"/>
    <w:rsid w:val="1FAD0900"/>
    <w:rsid w:val="202B76D7"/>
    <w:rsid w:val="206182C7"/>
    <w:rsid w:val="207D3EB5"/>
    <w:rsid w:val="20BC6F4D"/>
    <w:rsid w:val="21B896F5"/>
    <w:rsid w:val="21CB1928"/>
    <w:rsid w:val="23C37EEC"/>
    <w:rsid w:val="23FD2DDB"/>
    <w:rsid w:val="2446FE2F"/>
    <w:rsid w:val="265F95F2"/>
    <w:rsid w:val="2679F473"/>
    <w:rsid w:val="2771C9CC"/>
    <w:rsid w:val="29199F74"/>
    <w:rsid w:val="294450A9"/>
    <w:rsid w:val="2A65BCB3"/>
    <w:rsid w:val="2BA14003"/>
    <w:rsid w:val="2BBB97DF"/>
    <w:rsid w:val="2BC2EAE3"/>
    <w:rsid w:val="2DA7AE27"/>
    <w:rsid w:val="2E75B962"/>
    <w:rsid w:val="2EA0E034"/>
    <w:rsid w:val="2EC9BC10"/>
    <w:rsid w:val="2EE2705F"/>
    <w:rsid w:val="2EE5F913"/>
    <w:rsid w:val="2F8D6645"/>
    <w:rsid w:val="2F965F8A"/>
    <w:rsid w:val="2FB1C78F"/>
    <w:rsid w:val="31196552"/>
    <w:rsid w:val="311ECDD4"/>
    <w:rsid w:val="3276F6D2"/>
    <w:rsid w:val="32C8159F"/>
    <w:rsid w:val="331D27E3"/>
    <w:rsid w:val="33841DFE"/>
    <w:rsid w:val="33ED7998"/>
    <w:rsid w:val="351E2042"/>
    <w:rsid w:val="363A3876"/>
    <w:rsid w:val="3642FAFD"/>
    <w:rsid w:val="370D0812"/>
    <w:rsid w:val="3965F8C1"/>
    <w:rsid w:val="3A49E0B0"/>
    <w:rsid w:val="3B56B216"/>
    <w:rsid w:val="3B895CC0"/>
    <w:rsid w:val="3BB5528F"/>
    <w:rsid w:val="3BCFA90E"/>
    <w:rsid w:val="3BE2DD1D"/>
    <w:rsid w:val="3C0C9B0A"/>
    <w:rsid w:val="3C45323F"/>
    <w:rsid w:val="3C536B52"/>
    <w:rsid w:val="3CB5AA6B"/>
    <w:rsid w:val="3CD78608"/>
    <w:rsid w:val="3D873BD7"/>
    <w:rsid w:val="3EF5DC2F"/>
    <w:rsid w:val="402B51C2"/>
    <w:rsid w:val="407103AE"/>
    <w:rsid w:val="4150AB0E"/>
    <w:rsid w:val="4194F18E"/>
    <w:rsid w:val="41C24EE4"/>
    <w:rsid w:val="41DC2955"/>
    <w:rsid w:val="433AA3AA"/>
    <w:rsid w:val="4399BC6F"/>
    <w:rsid w:val="43E01FEE"/>
    <w:rsid w:val="44C70D45"/>
    <w:rsid w:val="45B3279D"/>
    <w:rsid w:val="45D4F400"/>
    <w:rsid w:val="46535626"/>
    <w:rsid w:val="46D91FA6"/>
    <w:rsid w:val="4771934E"/>
    <w:rsid w:val="48C75DEE"/>
    <w:rsid w:val="48E7042A"/>
    <w:rsid w:val="490AE2EF"/>
    <w:rsid w:val="4C29F0E9"/>
    <w:rsid w:val="4E8D6FAB"/>
    <w:rsid w:val="4F55B855"/>
    <w:rsid w:val="4F8825C1"/>
    <w:rsid w:val="4FE66746"/>
    <w:rsid w:val="5046631D"/>
    <w:rsid w:val="50978C81"/>
    <w:rsid w:val="50D56765"/>
    <w:rsid w:val="50D577FB"/>
    <w:rsid w:val="5125DFF8"/>
    <w:rsid w:val="520FCFC4"/>
    <w:rsid w:val="5223F110"/>
    <w:rsid w:val="52CAB2D1"/>
    <w:rsid w:val="53A6DC82"/>
    <w:rsid w:val="543BDBE9"/>
    <w:rsid w:val="54A73D21"/>
    <w:rsid w:val="55E82B4A"/>
    <w:rsid w:val="58050981"/>
    <w:rsid w:val="5860C49D"/>
    <w:rsid w:val="586A646F"/>
    <w:rsid w:val="58B7E93B"/>
    <w:rsid w:val="598A00B4"/>
    <w:rsid w:val="59AA6C11"/>
    <w:rsid w:val="59FBDEAD"/>
    <w:rsid w:val="5A75C303"/>
    <w:rsid w:val="5A8516A1"/>
    <w:rsid w:val="5AB0BF01"/>
    <w:rsid w:val="5B0CBEAD"/>
    <w:rsid w:val="5B4C5725"/>
    <w:rsid w:val="5BD81D15"/>
    <w:rsid w:val="5BF9964E"/>
    <w:rsid w:val="5C6726C9"/>
    <w:rsid w:val="5C706960"/>
    <w:rsid w:val="5C735597"/>
    <w:rsid w:val="5DE9E019"/>
    <w:rsid w:val="5E313FBF"/>
    <w:rsid w:val="5E3611F8"/>
    <w:rsid w:val="5E4D33DB"/>
    <w:rsid w:val="5EB8EAB0"/>
    <w:rsid w:val="5F3D5956"/>
    <w:rsid w:val="5F789C41"/>
    <w:rsid w:val="60D2752D"/>
    <w:rsid w:val="619F7DAD"/>
    <w:rsid w:val="6226B314"/>
    <w:rsid w:val="633CAFD7"/>
    <w:rsid w:val="63489EAB"/>
    <w:rsid w:val="63A0C929"/>
    <w:rsid w:val="65B993D9"/>
    <w:rsid w:val="66A52FC4"/>
    <w:rsid w:val="67092A41"/>
    <w:rsid w:val="677E3D2B"/>
    <w:rsid w:val="67C94A1C"/>
    <w:rsid w:val="691D3EF3"/>
    <w:rsid w:val="6974014E"/>
    <w:rsid w:val="69777358"/>
    <w:rsid w:val="69DA9129"/>
    <w:rsid w:val="6B1CC497"/>
    <w:rsid w:val="6CA79CF2"/>
    <w:rsid w:val="6D6F927A"/>
    <w:rsid w:val="6F666F06"/>
    <w:rsid w:val="6F7CE8C4"/>
    <w:rsid w:val="717E46EB"/>
    <w:rsid w:val="7231754A"/>
    <w:rsid w:val="724B4EF4"/>
    <w:rsid w:val="7323AC95"/>
    <w:rsid w:val="737EB95B"/>
    <w:rsid w:val="7447978E"/>
    <w:rsid w:val="745993B6"/>
    <w:rsid w:val="748C7C09"/>
    <w:rsid w:val="765513F8"/>
    <w:rsid w:val="76BFD158"/>
    <w:rsid w:val="77EECE70"/>
    <w:rsid w:val="782E6F20"/>
    <w:rsid w:val="78456239"/>
    <w:rsid w:val="785E06F0"/>
    <w:rsid w:val="7902EA1E"/>
    <w:rsid w:val="795230B4"/>
    <w:rsid w:val="799D13CD"/>
    <w:rsid w:val="79FDE436"/>
    <w:rsid w:val="7A8707C1"/>
    <w:rsid w:val="7A894E01"/>
    <w:rsid w:val="7BD76921"/>
    <w:rsid w:val="7C30DF2B"/>
    <w:rsid w:val="7C71B071"/>
    <w:rsid w:val="7CC60ABB"/>
    <w:rsid w:val="7F79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F473"/>
  <w15:chartTrackingRefBased/>
  <w15:docId w15:val="{961DE493-DD27-4B6D-9048-0F6F3B21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CD786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CD7860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CD7860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A270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DD4418186844B8B779978C4059ED1" ma:contentTypeVersion="13" ma:contentTypeDescription="Create a new document." ma:contentTypeScope="" ma:versionID="e6d5bb149ea8287669fa9db178572eac">
  <xsd:schema xmlns:xsd="http://www.w3.org/2001/XMLSchema" xmlns:xs="http://www.w3.org/2001/XMLSchema" xmlns:p="http://schemas.microsoft.com/office/2006/metadata/properties" xmlns:ns3="93b372d5-24fe-46e3-811b-5d36ce03f2f6" xmlns:ns4="d66b9956-ecdc-4830-a314-c425eb7789cc" targetNamespace="http://schemas.microsoft.com/office/2006/metadata/properties" ma:root="true" ma:fieldsID="4dd493536d4b45c9279a24cc29af0146" ns3:_="" ns4:_="">
    <xsd:import namespace="93b372d5-24fe-46e3-811b-5d36ce03f2f6"/>
    <xsd:import namespace="d66b9956-ecdc-4830-a314-c425eb778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2d5-24fe-46e3-811b-5d36ce03f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9956-ecdc-4830-a314-c425eb77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b372d5-24fe-46e3-811b-5d36ce03f2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5E4EC-C654-4725-A94A-C1641C08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2d5-24fe-46e3-811b-5d36ce03f2f6"/>
    <ds:schemaRef ds:uri="d66b9956-ecdc-4830-a314-c425eb77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3AECF-58DD-4DD3-9294-D6CA390474B8}">
  <ds:schemaRefs>
    <ds:schemaRef ds:uri="http://schemas.microsoft.com/office/2006/metadata/properties"/>
    <ds:schemaRef ds:uri="http://schemas.microsoft.com/office/infopath/2007/PartnerControls"/>
    <ds:schemaRef ds:uri="93b372d5-24fe-46e3-811b-5d36ce03f2f6"/>
  </ds:schemaRefs>
</ds:datastoreItem>
</file>

<file path=customXml/itemProps3.xml><?xml version="1.0" encoding="utf-8"?>
<ds:datastoreItem xmlns:ds="http://schemas.openxmlformats.org/officeDocument/2006/customXml" ds:itemID="{A30E6CE7-216C-4BA6-9927-41B0356A67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 Diaz, Olivia</dc:creator>
  <cp:keywords/>
  <dc:description/>
  <cp:lastModifiedBy>Casas Diaz, Olivia</cp:lastModifiedBy>
  <cp:revision>14</cp:revision>
  <cp:lastPrinted>2025-04-04T17:07:00Z</cp:lastPrinted>
  <dcterms:created xsi:type="dcterms:W3CDTF">2025-04-02T12:56:00Z</dcterms:created>
  <dcterms:modified xsi:type="dcterms:W3CDTF">2025-04-04T17:37:00Z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0x010100660DD4418186844B8B779978C4059ED1</vt:lpwstr>
  </property>
</Properties>
</file>