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2526" w14:textId="6D5C000C" w:rsidR="005039C3" w:rsidRDefault="60CA7FEB" w:rsidP="78333E4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8333E4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Table 1: Polyacrylamide </w:t>
      </w:r>
      <w:r w:rsidR="0F1A87ED" w:rsidRPr="78333E45">
        <w:rPr>
          <w:rFonts w:ascii="Calibri" w:eastAsia="Calibri" w:hAnsi="Calibri" w:cs="Calibri"/>
          <w:color w:val="000000" w:themeColor="text1"/>
          <w:sz w:val="22"/>
          <w:szCs w:val="22"/>
        </w:rPr>
        <w:t>Hydrog</w:t>
      </w:r>
      <w:r w:rsidRPr="78333E45">
        <w:rPr>
          <w:rFonts w:ascii="Calibri" w:eastAsia="Calibri" w:hAnsi="Calibri" w:cs="Calibri"/>
          <w:color w:val="000000" w:themeColor="text1"/>
          <w:sz w:val="22"/>
          <w:szCs w:val="22"/>
        </w:rPr>
        <w:t>el Medical Device Reports by Complication Type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1957"/>
        <w:gridCol w:w="1890"/>
      </w:tblGrid>
      <w:tr w:rsidR="78333E45" w14:paraId="79E24EBE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2E632938" w14:textId="46562C06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Complication Type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1F21746F" w14:textId="77777777" w:rsidR="00E5654C" w:rsidRDefault="78333E45" w:rsidP="78333E45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Number of Patient Complications</w:t>
            </w:r>
            <w:r w:rsidR="00AC6F1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22951913" w14:textId="617C91ED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(n=66)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13DA23D" w14:textId="2CEC1073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Percentage of Total Complications </w:t>
            </w:r>
          </w:p>
        </w:tc>
      </w:tr>
      <w:tr w:rsidR="78333E45" w14:paraId="1EE17258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5743D9E2" w14:textId="6F2E373B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Abscess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4BCC4CB3" w14:textId="12AC7632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BFD93F4" w14:textId="114D08FA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6.1%</w:t>
            </w:r>
          </w:p>
        </w:tc>
      </w:tr>
      <w:tr w:rsidR="78333E45" w14:paraId="01E246CE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27D581E6" w14:textId="6472A6C1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Bladder Stone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47934125" w14:textId="6DDB4EB8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52166A8" w14:textId="65423A77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3.0%</w:t>
            </w:r>
          </w:p>
        </w:tc>
      </w:tr>
      <w:tr w:rsidR="78333E45" w14:paraId="1A0CC60A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41D7DE84" w14:textId="7F3D6A67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Blood transfusion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051C6928" w14:textId="7CDB1192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4AF13CCF" w14:textId="07C70046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3.0%</w:t>
            </w:r>
          </w:p>
        </w:tc>
      </w:tr>
      <w:tr w:rsidR="78333E45" w14:paraId="7AC86CC2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52716DC2" w14:textId="7CE94BE7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Death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4878B1B8" w14:textId="1C7555A4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04EDD975" w14:textId="5449C89A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1.5%</w:t>
            </w:r>
          </w:p>
        </w:tc>
      </w:tr>
      <w:tr w:rsidR="78333E45" w14:paraId="11EEE6E3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5A534B0C" w14:textId="7C32A536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Device malfunction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534898C4" w14:textId="3B11F71F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39CEB3F" w14:textId="44AA4D71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4.5%</w:t>
            </w:r>
          </w:p>
        </w:tc>
      </w:tr>
      <w:tr w:rsidR="78333E45" w14:paraId="68603306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1BF52147" w14:textId="0BE6ECB9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Dysuria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138B811F" w14:textId="00C5BF1F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73EFE025" w14:textId="0098B102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3.0%</w:t>
            </w:r>
          </w:p>
        </w:tc>
      </w:tr>
      <w:tr w:rsidR="78333E45" w14:paraId="103651D4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6C3B2F7F" w14:textId="4773C19E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Erosion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203EFB33" w14:textId="0FEA843B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0D69E7B" w14:textId="262554C5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3.0%</w:t>
            </w:r>
          </w:p>
        </w:tc>
      </w:tr>
      <w:tr w:rsidR="78333E45" w14:paraId="6E641E2C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2123F8BC" w14:textId="42A002D5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Explant/Revision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742E3C1F" w14:textId="6C5C256B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7F0B129" w14:textId="06C3B9E8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10.6%</w:t>
            </w:r>
          </w:p>
        </w:tc>
      </w:tr>
      <w:tr w:rsidR="78333E45" w14:paraId="52E35859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27DFAF48" w14:textId="3482F2C4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Fever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06905A27" w14:textId="7BF4DDDC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2AF9EE34" w14:textId="645EB382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1.5%</w:t>
            </w:r>
          </w:p>
        </w:tc>
      </w:tr>
      <w:tr w:rsidR="78333E45" w14:paraId="4B6CF3F0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124A7311" w14:textId="58F84384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Fistula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50859EE6" w14:textId="5CD24C6C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733B85FA" w14:textId="623FB276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3.0%</w:t>
            </w:r>
          </w:p>
        </w:tc>
      </w:tr>
      <w:tr w:rsidR="78333E45" w14:paraId="4D94A2A8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58D2B6AD" w14:textId="113D4BDC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Hematoma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73C4FBB0" w14:textId="5AF5D633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0CC3AB9D" w14:textId="0324E89E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7.6%</w:t>
            </w:r>
          </w:p>
        </w:tc>
      </w:tr>
      <w:tr w:rsidR="78333E45" w14:paraId="2EA6E251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41837068" w14:textId="35F970F2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Hematuria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2DABEF2F" w14:textId="7F5B25C7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1544F4E3" w14:textId="2724F31E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3.0%</w:t>
            </w:r>
          </w:p>
        </w:tc>
      </w:tr>
      <w:tr w:rsidR="78333E45" w14:paraId="69B58215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717C204E" w14:textId="7A099453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Hospitalization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6128C3D9" w14:textId="7B7D5543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41E553D5" w14:textId="4E0FF553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9.1%</w:t>
            </w:r>
          </w:p>
        </w:tc>
      </w:tr>
      <w:tr w:rsidR="78333E45" w14:paraId="413FC50C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61AB8B64" w14:textId="6E031FAB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Persistent or worsened incontinence symptoms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4E926CE5" w14:textId="247269C1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664F5638" w14:textId="71861AC9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6.1%</w:t>
            </w:r>
          </w:p>
        </w:tc>
      </w:tr>
      <w:tr w:rsidR="78333E45" w14:paraId="0AD94D45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2754830F" w14:textId="11C6E80C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Rash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5BACD1B6" w14:textId="6D5D0FAE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7EB650F8" w14:textId="07607810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1.5%</w:t>
            </w:r>
          </w:p>
        </w:tc>
      </w:tr>
      <w:tr w:rsidR="78333E45" w14:paraId="098C1285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72E0FEE7" w14:textId="3FEB488A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Retention or catheterization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5F75DF97" w14:textId="33CE0BB2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30852E6B" w14:textId="717DC946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21.2%</w:t>
            </w:r>
          </w:p>
        </w:tc>
      </w:tr>
      <w:tr w:rsidR="78333E45" w14:paraId="1207C723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3F52A11A" w14:textId="4791CC8F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Sepsis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2DE0A7CE" w14:textId="3AF4D992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7C2BF64E" w14:textId="4C6A6D62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1.5%</w:t>
            </w:r>
          </w:p>
        </w:tc>
      </w:tr>
      <w:tr w:rsidR="78333E45" w14:paraId="0276DF34" w14:textId="77777777" w:rsidTr="00540810">
        <w:trPr>
          <w:trHeight w:val="300"/>
        </w:trPr>
        <w:tc>
          <w:tcPr>
            <w:tcW w:w="3525" w:type="dxa"/>
            <w:tcMar>
              <w:left w:w="105" w:type="dxa"/>
              <w:right w:w="105" w:type="dxa"/>
            </w:tcMar>
          </w:tcPr>
          <w:p w14:paraId="033286DB" w14:textId="5836A742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Urinary tract infection</w:t>
            </w:r>
          </w:p>
        </w:tc>
        <w:tc>
          <w:tcPr>
            <w:tcW w:w="1957" w:type="dxa"/>
            <w:tcMar>
              <w:left w:w="105" w:type="dxa"/>
              <w:right w:w="105" w:type="dxa"/>
            </w:tcMar>
          </w:tcPr>
          <w:p w14:paraId="3B1E7523" w14:textId="620368AB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1DD14C04" w14:textId="6FAD78D7" w:rsidR="78333E45" w:rsidRDefault="78333E45" w:rsidP="78333E4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78333E45">
              <w:rPr>
                <w:rFonts w:ascii="Calibri" w:eastAsia="Calibri" w:hAnsi="Calibri" w:cs="Calibri"/>
                <w:sz w:val="22"/>
                <w:szCs w:val="22"/>
              </w:rPr>
              <w:t>9.1%</w:t>
            </w:r>
          </w:p>
        </w:tc>
      </w:tr>
    </w:tbl>
    <w:p w14:paraId="2C078E63" w14:textId="7754EF0C" w:rsidR="005039C3" w:rsidRDefault="005039C3"/>
    <w:sectPr w:rsidR="00503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62B668"/>
    <w:rsid w:val="00414E2B"/>
    <w:rsid w:val="005039C3"/>
    <w:rsid w:val="00540810"/>
    <w:rsid w:val="00551EE5"/>
    <w:rsid w:val="00701BBC"/>
    <w:rsid w:val="007F1E90"/>
    <w:rsid w:val="00AB454A"/>
    <w:rsid w:val="00AC6F1B"/>
    <w:rsid w:val="00B66B7F"/>
    <w:rsid w:val="00E5654C"/>
    <w:rsid w:val="0F1A87ED"/>
    <w:rsid w:val="1562B668"/>
    <w:rsid w:val="23E9E405"/>
    <w:rsid w:val="60CA7FEB"/>
    <w:rsid w:val="783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B668"/>
  <w15:chartTrackingRefBased/>
  <w15:docId w15:val="{D67B6CB3-2BC1-4427-8113-2F20AC44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f7ff65a-ced6-400c-9856-fcac58ff39e8}" enabled="0" method="" siteId="{cf7ff65a-ced6-400c-9856-fcac58ff39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Jersey</dc:creator>
  <cp:keywords/>
  <dc:description/>
  <cp:lastModifiedBy>Burns, Jersey</cp:lastModifiedBy>
  <cp:revision>7</cp:revision>
  <dcterms:created xsi:type="dcterms:W3CDTF">2025-04-07T11:49:00Z</dcterms:created>
  <dcterms:modified xsi:type="dcterms:W3CDTF">2025-04-07T11:54:00Z</dcterms:modified>
</cp:coreProperties>
</file>