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65883" w14:textId="77777777" w:rsidR="009D0E77" w:rsidRPr="009D0E77" w:rsidRDefault="009D0E77">
      <w:pPr>
        <w:rPr>
          <w:rFonts w:ascii="Arial" w:hAnsi="Arial" w:cs="Arial"/>
          <w:sz w:val="20"/>
          <w:szCs w:val="20"/>
        </w:rPr>
      </w:pPr>
    </w:p>
    <w:p w14:paraId="43338ABF" w14:textId="0F3600F6" w:rsidR="009D0E77" w:rsidRPr="009D0E77" w:rsidRDefault="009D0E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240E" w:rsidRPr="009D0E77" w14:paraId="4CAE7926" w14:textId="77777777" w:rsidTr="00C1073D">
        <w:tc>
          <w:tcPr>
            <w:tcW w:w="4675" w:type="dxa"/>
            <w:tcBorders>
              <w:left w:val="nil"/>
              <w:bottom w:val="single" w:sz="4" w:space="0" w:color="auto"/>
              <w:right w:val="nil"/>
            </w:tcBorders>
          </w:tcPr>
          <w:p w14:paraId="4D4FF540" w14:textId="593EDA56" w:rsidR="005D240E" w:rsidRPr="009D0E77" w:rsidRDefault="005D24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77">
              <w:rPr>
                <w:rFonts w:ascii="Arial" w:hAnsi="Arial" w:cs="Arial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  <w:right w:val="nil"/>
            </w:tcBorders>
          </w:tcPr>
          <w:p w14:paraId="0F806BA6" w14:textId="00FCBB89" w:rsidR="005D240E" w:rsidRPr="009D0E77" w:rsidRDefault="00ED1AED" w:rsidP="00C107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77">
              <w:rPr>
                <w:rFonts w:ascii="Arial" w:hAnsi="Arial" w:cs="Arial"/>
                <w:b/>
                <w:bCs/>
                <w:sz w:val="20"/>
                <w:szCs w:val="20"/>
              </w:rPr>
              <w:t>Mean (1 Standard Deviation)</w:t>
            </w:r>
          </w:p>
        </w:tc>
      </w:tr>
      <w:tr w:rsidR="005D240E" w:rsidRPr="009D0E77" w14:paraId="32705ABE" w14:textId="77777777" w:rsidTr="00C1073D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14:paraId="5C6A8955" w14:textId="1F7A6E0B" w:rsidR="005D240E" w:rsidRPr="009D0E77" w:rsidRDefault="005D240E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14:paraId="7E237C9C" w14:textId="628BEA78" w:rsidR="005D240E" w:rsidRPr="009D0E77" w:rsidRDefault="005D240E" w:rsidP="00C1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61.3 (12.2)</w:t>
            </w:r>
          </w:p>
        </w:tc>
      </w:tr>
      <w:tr w:rsidR="005D240E" w:rsidRPr="009D0E77" w14:paraId="3430F4CC" w14:textId="77777777" w:rsidTr="00C1073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B55FE6C" w14:textId="1B4F9B0B" w:rsidR="005D240E" w:rsidRPr="009D0E77" w:rsidRDefault="005D240E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Parity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D0E2F14" w14:textId="092C180B" w:rsidR="005D240E" w:rsidRPr="009D0E77" w:rsidRDefault="005D240E" w:rsidP="00C1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2.5 (1.1)</w:t>
            </w:r>
          </w:p>
        </w:tc>
      </w:tr>
      <w:tr w:rsidR="005D240E" w:rsidRPr="009D0E77" w14:paraId="706C47A5" w14:textId="77777777" w:rsidTr="00C1073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52C0A7A" w14:textId="0842980E" w:rsidR="005D240E" w:rsidRPr="009D0E77" w:rsidRDefault="005D240E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59AD865" w14:textId="782BE59C" w:rsidR="005D240E" w:rsidRPr="009D0E77" w:rsidRDefault="005D240E" w:rsidP="00C1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26.3 (4.5)</w:t>
            </w:r>
          </w:p>
        </w:tc>
      </w:tr>
      <w:tr w:rsidR="00ED1AED" w:rsidRPr="009D0E77" w14:paraId="01D45768" w14:textId="77777777" w:rsidTr="00C1073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7B4D6A4" w14:textId="1550D841" w:rsidR="00ED1AED" w:rsidRPr="009D0E77" w:rsidRDefault="00ED1AED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Preoperative Vaginal Area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F9B3F32" w14:textId="07245CBC" w:rsidR="00ED1AED" w:rsidRPr="009D0E77" w:rsidRDefault="009D0E77" w:rsidP="00C1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22.82 (9.0)</w:t>
            </w:r>
          </w:p>
        </w:tc>
      </w:tr>
      <w:tr w:rsidR="00ED1AED" w:rsidRPr="009D0E77" w14:paraId="33AF5AE8" w14:textId="77777777" w:rsidTr="00C1073D">
        <w:tc>
          <w:tcPr>
            <w:tcW w:w="4675" w:type="dxa"/>
            <w:tcBorders>
              <w:top w:val="nil"/>
              <w:left w:val="nil"/>
              <w:right w:val="nil"/>
            </w:tcBorders>
          </w:tcPr>
          <w:p w14:paraId="3D38FE79" w14:textId="55555DFC" w:rsidR="00ED1AED" w:rsidRPr="009D0E77" w:rsidRDefault="00ED1AED" w:rsidP="00ED1AED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Preoperative Vaginal Ovoid Cylinder volume</w:t>
            </w:r>
          </w:p>
        </w:tc>
        <w:tc>
          <w:tcPr>
            <w:tcW w:w="4675" w:type="dxa"/>
            <w:tcBorders>
              <w:top w:val="nil"/>
              <w:left w:val="nil"/>
              <w:right w:val="nil"/>
            </w:tcBorders>
          </w:tcPr>
          <w:p w14:paraId="4E8732A9" w14:textId="090CF91D" w:rsidR="00ED1AED" w:rsidRPr="009D0E77" w:rsidRDefault="00ED1AED" w:rsidP="00C1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127.7 (58.5)</w:t>
            </w:r>
          </w:p>
        </w:tc>
      </w:tr>
    </w:tbl>
    <w:p w14:paraId="27929908" w14:textId="5474F5D5" w:rsidR="00C1073D" w:rsidRPr="009D0E77" w:rsidRDefault="00C1073D">
      <w:pPr>
        <w:rPr>
          <w:rFonts w:ascii="Arial" w:hAnsi="Arial" w:cs="Arial"/>
          <w:sz w:val="20"/>
          <w:szCs w:val="20"/>
        </w:rPr>
      </w:pPr>
      <w:r w:rsidRPr="009D0E77">
        <w:rPr>
          <w:rFonts w:ascii="Arial" w:hAnsi="Arial" w:cs="Arial"/>
          <w:sz w:val="20"/>
          <w:szCs w:val="20"/>
        </w:rPr>
        <w:t xml:space="preserve">Table 1. </w:t>
      </w:r>
      <w:r>
        <w:rPr>
          <w:rFonts w:ascii="Arial" w:hAnsi="Arial" w:cs="Arial"/>
          <w:sz w:val="20"/>
          <w:szCs w:val="20"/>
        </w:rPr>
        <w:t xml:space="preserve">Patient Characteristics </w:t>
      </w:r>
    </w:p>
    <w:p w14:paraId="5C42DB2D" w14:textId="359EBC56" w:rsidR="009D0E77" w:rsidRDefault="009D0E77">
      <w:pPr>
        <w:rPr>
          <w:rFonts w:ascii="Arial" w:hAnsi="Arial" w:cs="Arial"/>
          <w:sz w:val="20"/>
          <w:szCs w:val="20"/>
        </w:rPr>
      </w:pPr>
    </w:p>
    <w:p w14:paraId="16D87B27" w14:textId="77777777" w:rsidR="00C1073D" w:rsidRDefault="00C1073D">
      <w:pPr>
        <w:rPr>
          <w:rFonts w:ascii="Arial" w:hAnsi="Arial" w:cs="Arial"/>
          <w:sz w:val="20"/>
          <w:szCs w:val="20"/>
        </w:rPr>
      </w:pPr>
    </w:p>
    <w:p w14:paraId="398ADAC5" w14:textId="77777777" w:rsidR="00C1073D" w:rsidRPr="009D0E77" w:rsidRDefault="00C1073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6650"/>
        <w:gridCol w:w="2695"/>
      </w:tblGrid>
      <w:tr w:rsidR="005D240E" w:rsidRPr="009D0E77" w14:paraId="1DCFECA0" w14:textId="77777777" w:rsidTr="00C1073D">
        <w:tc>
          <w:tcPr>
            <w:tcW w:w="6650" w:type="dxa"/>
            <w:tcBorders>
              <w:left w:val="nil"/>
              <w:bottom w:val="single" w:sz="4" w:space="0" w:color="auto"/>
              <w:right w:val="nil"/>
            </w:tcBorders>
          </w:tcPr>
          <w:p w14:paraId="5D166802" w14:textId="23045427" w:rsidR="005D240E" w:rsidRPr="009D0E77" w:rsidRDefault="005D240E" w:rsidP="00035E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E77">
              <w:rPr>
                <w:rFonts w:ascii="Arial" w:hAnsi="Arial" w:cs="Arial"/>
                <w:b/>
                <w:bCs/>
                <w:sz w:val="20"/>
                <w:szCs w:val="20"/>
              </w:rPr>
              <w:t>Vaginal Area (</w:t>
            </w:r>
            <w:r w:rsidRPr="009D0E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 </w:t>
            </w:r>
            <w:r w:rsidRPr="009D0E77">
              <w:rPr>
                <w:rFonts w:ascii="Arial" w:hAnsi="Arial" w:cs="Arial"/>
                <w:b/>
                <w:bCs/>
                <w:sz w:val="20"/>
                <w:szCs w:val="20"/>
              </w:rPr>
              <w:t>= 123)</w:t>
            </w:r>
          </w:p>
        </w:tc>
        <w:tc>
          <w:tcPr>
            <w:tcW w:w="2695" w:type="dxa"/>
            <w:tcBorders>
              <w:left w:val="nil"/>
              <w:bottom w:val="single" w:sz="4" w:space="0" w:color="auto"/>
              <w:right w:val="nil"/>
            </w:tcBorders>
          </w:tcPr>
          <w:p w14:paraId="3FA0FB27" w14:textId="5176A374" w:rsidR="005D240E" w:rsidRPr="009D0E77" w:rsidRDefault="00422B3B" w:rsidP="009D0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5D240E" w:rsidRPr="009D0E77">
              <w:rPr>
                <w:rFonts w:ascii="Arial" w:hAnsi="Arial" w:cs="Arial"/>
                <w:b/>
                <w:bCs/>
                <w:sz w:val="20"/>
                <w:szCs w:val="20"/>
              </w:rPr>
              <w:t>Number of Failures</w:t>
            </w:r>
          </w:p>
        </w:tc>
      </w:tr>
      <w:tr w:rsidR="005D240E" w:rsidRPr="009D0E77" w14:paraId="5EE0C011" w14:textId="77777777" w:rsidTr="00C1073D">
        <w:tc>
          <w:tcPr>
            <w:tcW w:w="6650" w:type="dxa"/>
            <w:tcBorders>
              <w:left w:val="nil"/>
              <w:bottom w:val="nil"/>
              <w:right w:val="nil"/>
            </w:tcBorders>
          </w:tcPr>
          <w:p w14:paraId="4CB5675A" w14:textId="4B472BDF" w:rsidR="005D240E" w:rsidRPr="009D0E77" w:rsidRDefault="005D240E" w:rsidP="00035E79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Need for repeat prolapse surgery, pessary placement, or subjective symptoms of a bulge</w:t>
            </w: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664ACE7F" w14:textId="0C0D40A1" w:rsidR="005D240E" w:rsidRPr="009D0E77" w:rsidRDefault="005D240E" w:rsidP="009D0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5D240E" w:rsidRPr="009D0E77" w14:paraId="7F8BF974" w14:textId="77777777" w:rsidTr="00C1073D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14:paraId="6F353586" w14:textId="5E06516C" w:rsidR="005D240E" w:rsidRPr="009D0E77" w:rsidRDefault="005D240E" w:rsidP="00035E79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Descent of vaginal apex more than one third of total vaginal length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7533E5A" w14:textId="5A13743E" w:rsidR="005D240E" w:rsidRPr="009D0E77" w:rsidRDefault="005D240E" w:rsidP="009D0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D240E" w:rsidRPr="009D0E77" w14:paraId="422F808B" w14:textId="77777777" w:rsidTr="00C1073D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14:paraId="37EDD386" w14:textId="5CB438EB" w:rsidR="005D240E" w:rsidRPr="009D0E77" w:rsidRDefault="005D240E" w:rsidP="00035E79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Ba extending beyond the hymen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9D8833D" w14:textId="5D9BA721" w:rsidR="005D240E" w:rsidRPr="009D0E77" w:rsidRDefault="005D240E" w:rsidP="009D0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D240E" w:rsidRPr="009D0E77" w14:paraId="70D15317" w14:textId="77777777" w:rsidTr="00C1073D"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58738" w14:textId="079AE36B" w:rsidR="005D240E" w:rsidRPr="009D0E77" w:rsidRDefault="005D240E" w:rsidP="00035E79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Bp extending beyond the hymen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11A0E" w14:textId="376778ED" w:rsidR="005D240E" w:rsidRPr="009D0E77" w:rsidRDefault="005D240E" w:rsidP="009D0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D240E" w:rsidRPr="009D0E77" w14:paraId="0C583CAF" w14:textId="77777777" w:rsidTr="00C1073D">
        <w:tc>
          <w:tcPr>
            <w:tcW w:w="6650" w:type="dxa"/>
            <w:tcBorders>
              <w:left w:val="nil"/>
              <w:bottom w:val="single" w:sz="4" w:space="0" w:color="auto"/>
              <w:right w:val="nil"/>
            </w:tcBorders>
          </w:tcPr>
          <w:p w14:paraId="5B81CBF8" w14:textId="2E673D9A" w:rsidR="005D240E" w:rsidRPr="009D0E77" w:rsidRDefault="005D240E" w:rsidP="005D240E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b/>
                <w:bCs/>
                <w:sz w:val="20"/>
                <w:szCs w:val="20"/>
              </w:rPr>
              <w:t>Vaginal Ovoid Volume (</w:t>
            </w:r>
            <w:r w:rsidRPr="009D0E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 </w:t>
            </w:r>
            <w:r w:rsidRPr="009D0E77">
              <w:rPr>
                <w:rFonts w:ascii="Arial" w:hAnsi="Arial" w:cs="Arial"/>
                <w:b/>
                <w:bCs/>
                <w:sz w:val="20"/>
                <w:szCs w:val="20"/>
              </w:rPr>
              <w:t>= 121)</w:t>
            </w:r>
          </w:p>
        </w:tc>
        <w:tc>
          <w:tcPr>
            <w:tcW w:w="2695" w:type="dxa"/>
            <w:tcBorders>
              <w:left w:val="nil"/>
              <w:bottom w:val="single" w:sz="4" w:space="0" w:color="auto"/>
              <w:right w:val="nil"/>
            </w:tcBorders>
          </w:tcPr>
          <w:p w14:paraId="1D7AD55E" w14:textId="4FF67B15" w:rsidR="005D240E" w:rsidRPr="009D0E77" w:rsidRDefault="00422B3B" w:rsidP="009D0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9D0E77" w:rsidRPr="009D0E77">
              <w:rPr>
                <w:rFonts w:ascii="Arial" w:hAnsi="Arial" w:cs="Arial"/>
                <w:b/>
                <w:bCs/>
                <w:sz w:val="20"/>
                <w:szCs w:val="20"/>
              </w:rPr>
              <w:t>Number of Failures</w:t>
            </w:r>
          </w:p>
        </w:tc>
      </w:tr>
      <w:tr w:rsidR="005D240E" w:rsidRPr="009D0E77" w14:paraId="534D172B" w14:textId="77777777" w:rsidTr="00C1073D">
        <w:tc>
          <w:tcPr>
            <w:tcW w:w="6650" w:type="dxa"/>
            <w:tcBorders>
              <w:left w:val="nil"/>
              <w:bottom w:val="nil"/>
              <w:right w:val="nil"/>
            </w:tcBorders>
          </w:tcPr>
          <w:p w14:paraId="28228765" w14:textId="77777777" w:rsidR="005D240E" w:rsidRPr="009D0E77" w:rsidRDefault="005D240E" w:rsidP="00035E79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Need for repeat prolapse surgery, pessary placement, or subjective symptoms of a bulge</w:t>
            </w: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4FB0F8FE" w14:textId="6EF2DFE9" w:rsidR="005D240E" w:rsidRPr="009D0E77" w:rsidRDefault="00ED1AED" w:rsidP="009D0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5D240E" w:rsidRPr="009D0E77" w14:paraId="58FFF725" w14:textId="77777777" w:rsidTr="00C1073D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14:paraId="4F7E9FDE" w14:textId="77777777" w:rsidR="005D240E" w:rsidRPr="009D0E77" w:rsidRDefault="005D240E" w:rsidP="00035E79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Descent of vaginal apex more than one third of total vaginal length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7C7D9EB" w14:textId="6EC4066B" w:rsidR="005D240E" w:rsidRPr="009D0E77" w:rsidRDefault="00ED1AED" w:rsidP="009D0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D240E" w:rsidRPr="009D0E77" w14:paraId="2EE7B88E" w14:textId="77777777" w:rsidTr="00C1073D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14:paraId="6EB91A0F" w14:textId="77777777" w:rsidR="005D240E" w:rsidRPr="009D0E77" w:rsidRDefault="005D240E" w:rsidP="00035E79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Ba extending beyond the hymen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E29A690" w14:textId="6AB3AED4" w:rsidR="005D240E" w:rsidRPr="009D0E77" w:rsidRDefault="00ED1AED" w:rsidP="009D0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D240E" w:rsidRPr="009D0E77" w14:paraId="158856A2" w14:textId="77777777" w:rsidTr="00C1073D">
        <w:tc>
          <w:tcPr>
            <w:tcW w:w="6650" w:type="dxa"/>
            <w:tcBorders>
              <w:top w:val="nil"/>
              <w:left w:val="nil"/>
              <w:right w:val="nil"/>
            </w:tcBorders>
          </w:tcPr>
          <w:p w14:paraId="0A9FFC0D" w14:textId="77777777" w:rsidR="005D240E" w:rsidRPr="009D0E77" w:rsidRDefault="005D240E" w:rsidP="00035E79">
            <w:pPr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Bp extending beyond the hymen</w:t>
            </w: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</w:tcPr>
          <w:p w14:paraId="369537BE" w14:textId="0A46DEC0" w:rsidR="005D240E" w:rsidRPr="009D0E77" w:rsidRDefault="00ED1AED" w:rsidP="009D0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E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5AC0CD4" w14:textId="77777777" w:rsidR="00C1073D" w:rsidRPr="009D0E77" w:rsidRDefault="00C1073D" w:rsidP="00C1073D">
      <w:pPr>
        <w:rPr>
          <w:rFonts w:ascii="Arial" w:hAnsi="Arial" w:cs="Arial"/>
          <w:sz w:val="20"/>
          <w:szCs w:val="20"/>
        </w:rPr>
      </w:pPr>
      <w:r w:rsidRPr="009D0E77">
        <w:rPr>
          <w:rFonts w:ascii="Arial" w:hAnsi="Arial" w:cs="Arial"/>
          <w:sz w:val="20"/>
          <w:szCs w:val="20"/>
        </w:rPr>
        <w:t xml:space="preserve">Table 2. </w:t>
      </w:r>
      <w:r>
        <w:rPr>
          <w:rFonts w:ascii="Arial" w:hAnsi="Arial" w:cs="Arial"/>
          <w:sz w:val="20"/>
          <w:szCs w:val="20"/>
        </w:rPr>
        <w:t>Vaginal Colpopexy Outcomes: Number of Patients Meeting Failure Criteria in Vaginal Area and Vaginal Ovoid Volume Groups</w:t>
      </w:r>
    </w:p>
    <w:p w14:paraId="066113BB" w14:textId="77777777" w:rsidR="005D240E" w:rsidRPr="009D0E77" w:rsidRDefault="005D240E">
      <w:pPr>
        <w:rPr>
          <w:rFonts w:ascii="Arial" w:hAnsi="Arial" w:cs="Arial"/>
          <w:sz w:val="20"/>
          <w:szCs w:val="20"/>
        </w:rPr>
      </w:pPr>
    </w:p>
    <w:sectPr w:rsidR="005D240E" w:rsidRPr="009D0E77" w:rsidSect="009D0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E"/>
    <w:rsid w:val="00136576"/>
    <w:rsid w:val="00422B3B"/>
    <w:rsid w:val="005C797E"/>
    <w:rsid w:val="005D240E"/>
    <w:rsid w:val="007D2C50"/>
    <w:rsid w:val="009D0E77"/>
    <w:rsid w:val="00B47CBA"/>
    <w:rsid w:val="00C1073D"/>
    <w:rsid w:val="00E065C2"/>
    <w:rsid w:val="00E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563C0"/>
  <w15:chartTrackingRefBased/>
  <w15:docId w15:val="{77A22457-FC23-FD49-8824-A3379F3C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4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4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4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4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4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4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4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2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Ahmed</dc:creator>
  <cp:keywords/>
  <dc:description/>
  <cp:lastModifiedBy>Noha Ahmed</cp:lastModifiedBy>
  <cp:revision>2</cp:revision>
  <dcterms:created xsi:type="dcterms:W3CDTF">2025-04-06T18:59:00Z</dcterms:created>
  <dcterms:modified xsi:type="dcterms:W3CDTF">2025-04-06T19:40:00Z</dcterms:modified>
</cp:coreProperties>
</file>