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5182" w14:textId="15567D9B" w:rsidR="00235766" w:rsidRDefault="00235766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sdt>
      <w:sdtPr>
        <w:tag w:val="goog_rdk_0"/>
        <w:id w:val="-1844622563"/>
        <w:lock w:val="contentLocked"/>
      </w:sdtPr>
      <w:sdtContent>
        <w:tbl>
          <w:tblPr>
            <w:tblStyle w:val="a"/>
            <w:tblW w:w="6120" w:type="dxa"/>
            <w:tblLayout w:type="fixed"/>
            <w:tblLook w:val="0400" w:firstRow="0" w:lastRow="0" w:firstColumn="0" w:lastColumn="0" w:noHBand="0" w:noVBand="1"/>
          </w:tblPr>
          <w:tblGrid>
            <w:gridCol w:w="1725"/>
            <w:gridCol w:w="1275"/>
            <w:gridCol w:w="1035"/>
            <w:gridCol w:w="1095"/>
            <w:gridCol w:w="990"/>
          </w:tblGrid>
          <w:tr w:rsidR="00235766" w14:paraId="7F605188" w14:textId="77777777">
            <w:trPr>
              <w:trHeight w:val="349"/>
            </w:trPr>
            <w:tc>
              <w:tcPr>
                <w:tcW w:w="1725" w:type="dxa"/>
                <w:shd w:val="clear" w:color="auto" w:fill="DFDFDF"/>
                <w:tcMar>
                  <w:top w:w="30" w:type="dxa"/>
                  <w:left w:w="45" w:type="dxa"/>
                  <w:bottom w:w="30" w:type="dxa"/>
                  <w:right w:w="45" w:type="dxa"/>
                </w:tcMar>
              </w:tcPr>
              <w:p w14:paraId="7F605183" w14:textId="77777777" w:rsidR="00235766" w:rsidRDefault="0023576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275" w:type="dxa"/>
                <w:shd w:val="clear" w:color="auto" w:fill="DFDFDF"/>
                <w:tcMar>
                  <w:top w:w="30" w:type="dxa"/>
                  <w:left w:w="45" w:type="dxa"/>
                  <w:bottom w:w="30" w:type="dxa"/>
                  <w:right w:w="45" w:type="dxa"/>
                </w:tcMar>
              </w:tcPr>
              <w:p w14:paraId="7F605184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Unadjusted RR</w:t>
                </w:r>
              </w:p>
            </w:tc>
            <w:tc>
              <w:tcPr>
                <w:tcW w:w="1035" w:type="dxa"/>
                <w:shd w:val="clear" w:color="auto" w:fill="DFDFDF"/>
                <w:tcMar>
                  <w:top w:w="30" w:type="dxa"/>
                  <w:left w:w="45" w:type="dxa"/>
                  <w:bottom w:w="30" w:type="dxa"/>
                  <w:right w:w="45" w:type="dxa"/>
                </w:tcMar>
              </w:tcPr>
              <w:p w14:paraId="7F605185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95% CI</w:t>
                </w:r>
              </w:p>
            </w:tc>
            <w:tc>
              <w:tcPr>
                <w:tcW w:w="1095" w:type="dxa"/>
                <w:shd w:val="clear" w:color="auto" w:fill="DFDFDF"/>
                <w:tcMar>
                  <w:top w:w="30" w:type="dxa"/>
                  <w:left w:w="45" w:type="dxa"/>
                  <w:bottom w:w="30" w:type="dxa"/>
                  <w:right w:w="45" w:type="dxa"/>
                </w:tcMar>
              </w:tcPr>
              <w:p w14:paraId="7F605186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Adjusted RR</w:t>
                </w:r>
              </w:p>
            </w:tc>
            <w:tc>
              <w:tcPr>
                <w:tcW w:w="990" w:type="dxa"/>
                <w:shd w:val="clear" w:color="auto" w:fill="DFDFDF"/>
                <w:tcMar>
                  <w:top w:w="30" w:type="dxa"/>
                  <w:left w:w="45" w:type="dxa"/>
                  <w:bottom w:w="30" w:type="dxa"/>
                  <w:right w:w="45" w:type="dxa"/>
                </w:tcMar>
              </w:tcPr>
              <w:p w14:paraId="7F605187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95% CI</w:t>
                </w:r>
              </w:p>
            </w:tc>
          </w:tr>
          <w:tr w:rsidR="00235766" w14:paraId="7F60518E" w14:textId="77777777">
            <w:trPr>
              <w:trHeight w:val="349"/>
            </w:trPr>
            <w:tc>
              <w:tcPr>
                <w:tcW w:w="1725" w:type="dxa"/>
                <w:shd w:val="clear" w:color="auto" w:fill="E6E6E6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89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Hysterectomy Approach</w:t>
                </w:r>
              </w:p>
            </w:tc>
            <w:tc>
              <w:tcPr>
                <w:tcW w:w="1275" w:type="dxa"/>
                <w:shd w:val="clear" w:color="auto" w:fill="E6E6E6"/>
                <w:tcMar>
                  <w:top w:w="30" w:type="dxa"/>
                  <w:left w:w="45" w:type="dxa"/>
                  <w:bottom w:w="30" w:type="dxa"/>
                  <w:right w:w="45" w:type="dxa"/>
                </w:tcMar>
              </w:tcPr>
              <w:p w14:paraId="7F60518A" w14:textId="77777777" w:rsidR="00235766" w:rsidRDefault="0023576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</w:p>
            </w:tc>
            <w:tc>
              <w:tcPr>
                <w:tcW w:w="1035" w:type="dxa"/>
                <w:shd w:val="clear" w:color="auto" w:fill="E6E6E6"/>
                <w:tcMar>
                  <w:top w:w="30" w:type="dxa"/>
                  <w:left w:w="45" w:type="dxa"/>
                  <w:bottom w:w="30" w:type="dxa"/>
                  <w:right w:w="45" w:type="dxa"/>
                </w:tcMar>
              </w:tcPr>
              <w:p w14:paraId="7F60518B" w14:textId="77777777" w:rsidR="00235766" w:rsidRDefault="0023576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1095" w:type="dxa"/>
                <w:shd w:val="clear" w:color="auto" w:fill="E6E6E6"/>
                <w:tcMar>
                  <w:top w:w="30" w:type="dxa"/>
                  <w:left w:w="45" w:type="dxa"/>
                  <w:bottom w:w="30" w:type="dxa"/>
                  <w:right w:w="45" w:type="dxa"/>
                </w:tcMar>
              </w:tcPr>
              <w:p w14:paraId="7F60518C" w14:textId="77777777" w:rsidR="00235766" w:rsidRDefault="0023576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c>
            <w:tc>
              <w:tcPr>
                <w:tcW w:w="990" w:type="dxa"/>
                <w:shd w:val="clear" w:color="auto" w:fill="E6E6E6"/>
                <w:tcMar>
                  <w:top w:w="30" w:type="dxa"/>
                  <w:left w:w="45" w:type="dxa"/>
                  <w:bottom w:w="30" w:type="dxa"/>
                  <w:right w:w="45" w:type="dxa"/>
                </w:tcMar>
              </w:tcPr>
              <w:p w14:paraId="7F60518D" w14:textId="77777777" w:rsidR="00235766" w:rsidRDefault="0023576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235766" w14:paraId="7F605194" w14:textId="77777777">
            <w:trPr>
              <w:trHeight w:val="349"/>
            </w:trPr>
            <w:tc>
              <w:tcPr>
                <w:tcW w:w="172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8F" w14:textId="77777777" w:rsidR="00235766" w:rsidRDefault="00000000">
                <w:pPr>
                  <w:spacing w:after="0" w:line="240" w:lineRule="auto"/>
                  <w:ind w:left="180"/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Vaginal</w:t>
                </w:r>
              </w:p>
            </w:tc>
            <w:tc>
              <w:tcPr>
                <w:tcW w:w="127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0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Referent</w:t>
                </w:r>
              </w:p>
            </w:tc>
            <w:tc>
              <w:tcPr>
                <w:tcW w:w="103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1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</w:t>
                </w:r>
              </w:p>
            </w:tc>
            <w:tc>
              <w:tcPr>
                <w:tcW w:w="109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2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Referent</w:t>
                </w:r>
              </w:p>
            </w:tc>
            <w:tc>
              <w:tcPr>
                <w:tcW w:w="990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3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</w:t>
                </w:r>
              </w:p>
            </w:tc>
          </w:tr>
          <w:tr w:rsidR="00235766" w14:paraId="7F60519A" w14:textId="77777777">
            <w:trPr>
              <w:trHeight w:val="349"/>
            </w:trPr>
            <w:tc>
              <w:tcPr>
                <w:tcW w:w="172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5" w14:textId="77777777" w:rsidR="00235766" w:rsidRDefault="00000000">
                <w:pPr>
                  <w:spacing w:after="0" w:line="240" w:lineRule="auto"/>
                  <w:ind w:left="180"/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Abdominal</w:t>
                </w:r>
              </w:p>
            </w:tc>
            <w:tc>
              <w:tcPr>
                <w:tcW w:w="127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6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1.93</w:t>
                </w:r>
              </w:p>
            </w:tc>
            <w:tc>
              <w:tcPr>
                <w:tcW w:w="103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7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1.30 - 2.89</w:t>
                </w:r>
              </w:p>
            </w:tc>
            <w:tc>
              <w:tcPr>
                <w:tcW w:w="109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8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1.73</w:t>
                </w:r>
              </w:p>
            </w:tc>
            <w:tc>
              <w:tcPr>
                <w:tcW w:w="990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9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1.15 - 2.59</w:t>
                </w:r>
              </w:p>
            </w:tc>
          </w:tr>
          <w:tr w:rsidR="00235766" w14:paraId="7F6051A0" w14:textId="77777777">
            <w:trPr>
              <w:trHeight w:val="349"/>
            </w:trPr>
            <w:tc>
              <w:tcPr>
                <w:tcW w:w="172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B" w14:textId="77777777" w:rsidR="00235766" w:rsidRDefault="00000000">
                <w:pPr>
                  <w:spacing w:after="0" w:line="240" w:lineRule="auto"/>
                  <w:ind w:left="180"/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Laparoscopic</w:t>
                </w:r>
              </w:p>
            </w:tc>
            <w:tc>
              <w:tcPr>
                <w:tcW w:w="127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C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0.82</w:t>
                </w:r>
              </w:p>
            </w:tc>
            <w:tc>
              <w:tcPr>
                <w:tcW w:w="103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D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0.65 - 1.02</w:t>
                </w:r>
              </w:p>
            </w:tc>
            <w:tc>
              <w:tcPr>
                <w:tcW w:w="109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E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0.78</w:t>
                </w:r>
              </w:p>
            </w:tc>
            <w:tc>
              <w:tcPr>
                <w:tcW w:w="990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9F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0.62 - 0.97</w:t>
                </w:r>
              </w:p>
            </w:tc>
          </w:tr>
          <w:tr w:rsidR="00235766" w14:paraId="7F6051A6" w14:textId="77777777">
            <w:trPr>
              <w:trHeight w:val="349"/>
            </w:trPr>
            <w:tc>
              <w:tcPr>
                <w:tcW w:w="172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A1" w14:textId="77777777" w:rsidR="00235766" w:rsidRDefault="00000000">
                <w:pPr>
                  <w:spacing w:after="0" w:line="240" w:lineRule="auto"/>
                  <w:ind w:left="180"/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Laparoscopic-Assisted Vaginal</w:t>
                </w:r>
              </w:p>
            </w:tc>
            <w:tc>
              <w:tcPr>
                <w:tcW w:w="127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A2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1.00</w:t>
                </w:r>
              </w:p>
            </w:tc>
            <w:tc>
              <w:tcPr>
                <w:tcW w:w="103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A3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0.71 - 1.42</w:t>
                </w:r>
              </w:p>
            </w:tc>
            <w:tc>
              <w:tcPr>
                <w:tcW w:w="109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A4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0.99</w:t>
                </w:r>
              </w:p>
            </w:tc>
            <w:tc>
              <w:tcPr>
                <w:tcW w:w="990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A5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0.70 - 1.40</w:t>
                </w:r>
              </w:p>
            </w:tc>
          </w:tr>
          <w:tr w:rsidR="00235766" w14:paraId="7F6051AC" w14:textId="77777777">
            <w:trPr>
              <w:trHeight w:val="349"/>
            </w:trPr>
            <w:tc>
              <w:tcPr>
                <w:tcW w:w="1725" w:type="dxa"/>
                <w:shd w:val="clear" w:color="auto" w:fill="F2F2F2"/>
                <w:tcMar>
                  <w:top w:w="30" w:type="dxa"/>
                  <w:left w:w="30" w:type="dxa"/>
                  <w:bottom w:w="30" w:type="dxa"/>
                  <w:right w:w="30" w:type="dxa"/>
                </w:tcMar>
                <w:vAlign w:val="bottom"/>
              </w:tcPr>
              <w:p w14:paraId="7F6051A7" w14:textId="77777777" w:rsidR="00235766" w:rsidRDefault="00000000">
                <w:pPr>
                  <w:spacing w:after="0" w:line="240" w:lineRule="auto"/>
                  <w:ind w:left="180"/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vNOTES</w:t>
                </w:r>
              </w:p>
            </w:tc>
            <w:tc>
              <w:tcPr>
                <w:tcW w:w="127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A8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0.96</w:t>
                </w:r>
              </w:p>
            </w:tc>
            <w:tc>
              <w:tcPr>
                <w:tcW w:w="103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A9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0.56 - 1.66</w:t>
                </w:r>
              </w:p>
            </w:tc>
            <w:tc>
              <w:tcPr>
                <w:tcW w:w="109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AA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1.03</w:t>
                </w:r>
              </w:p>
            </w:tc>
            <w:tc>
              <w:tcPr>
                <w:tcW w:w="990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AB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0.60 - 1.76</w:t>
                </w:r>
              </w:p>
            </w:tc>
          </w:tr>
          <w:tr w:rsidR="00235766" w14:paraId="7F6051B2" w14:textId="77777777">
            <w:trPr>
              <w:trHeight w:val="349"/>
            </w:trPr>
            <w:tc>
              <w:tcPr>
                <w:tcW w:w="172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AD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Age</w:t>
                </w:r>
              </w:p>
            </w:tc>
            <w:tc>
              <w:tcPr>
                <w:tcW w:w="127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AE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0.98</w:t>
                </w:r>
              </w:p>
            </w:tc>
            <w:tc>
              <w:tcPr>
                <w:tcW w:w="103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AF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0.97 - 0.98</w:t>
                </w:r>
              </w:p>
            </w:tc>
            <w:tc>
              <w:tcPr>
                <w:tcW w:w="109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B0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0.97</w:t>
                </w:r>
              </w:p>
            </w:tc>
            <w:tc>
              <w:tcPr>
                <w:tcW w:w="990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B1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0.97 - 0.98</w:t>
                </w:r>
              </w:p>
            </w:tc>
          </w:tr>
          <w:tr w:rsidR="00235766" w14:paraId="7F6051B8" w14:textId="77777777">
            <w:trPr>
              <w:trHeight w:val="349"/>
            </w:trPr>
            <w:tc>
              <w:tcPr>
                <w:tcW w:w="172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B3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Diabetes</w:t>
                </w:r>
              </w:p>
            </w:tc>
            <w:tc>
              <w:tcPr>
                <w:tcW w:w="127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B4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1.54</w:t>
                </w:r>
              </w:p>
            </w:tc>
            <w:tc>
              <w:tcPr>
                <w:tcW w:w="103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B5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1.20 - 1.98</w:t>
                </w:r>
              </w:p>
            </w:tc>
            <w:tc>
              <w:tcPr>
                <w:tcW w:w="109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B6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1.49</w:t>
                </w:r>
              </w:p>
            </w:tc>
            <w:tc>
              <w:tcPr>
                <w:tcW w:w="990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B7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1.15 - 1.93</w:t>
                </w:r>
              </w:p>
            </w:tc>
          </w:tr>
          <w:tr w:rsidR="00235766" w14:paraId="7F6051BE" w14:textId="77777777">
            <w:trPr>
              <w:trHeight w:val="349"/>
            </w:trPr>
            <w:tc>
              <w:tcPr>
                <w:tcW w:w="172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B9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Hypertension</w:t>
                </w:r>
              </w:p>
            </w:tc>
            <w:tc>
              <w:tcPr>
                <w:tcW w:w="127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BA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1.17</w:t>
                </w:r>
              </w:p>
            </w:tc>
            <w:tc>
              <w:tcPr>
                <w:tcW w:w="103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BB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0.96 - 1.42</w:t>
                </w:r>
              </w:p>
            </w:tc>
            <w:tc>
              <w:tcPr>
                <w:tcW w:w="109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BC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1.37</w:t>
                </w:r>
              </w:p>
            </w:tc>
            <w:tc>
              <w:tcPr>
                <w:tcW w:w="990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BD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1.11 - 1.70</w:t>
                </w:r>
              </w:p>
            </w:tc>
          </w:tr>
          <w:tr w:rsidR="00235766" w14:paraId="7F6051C4" w14:textId="77777777">
            <w:trPr>
              <w:trHeight w:val="349"/>
            </w:trPr>
            <w:tc>
              <w:tcPr>
                <w:tcW w:w="172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BF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Uterine Weight (kg)</w:t>
                </w:r>
              </w:p>
            </w:tc>
            <w:tc>
              <w:tcPr>
                <w:tcW w:w="127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C0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1.15</w:t>
                </w:r>
              </w:p>
            </w:tc>
            <w:tc>
              <w:tcPr>
                <w:tcW w:w="103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C1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1.09 - 1.21</w:t>
                </w:r>
              </w:p>
            </w:tc>
            <w:tc>
              <w:tcPr>
                <w:tcW w:w="109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C2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1.17</w:t>
                </w:r>
              </w:p>
            </w:tc>
            <w:tc>
              <w:tcPr>
                <w:tcW w:w="990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C3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0.96 - 1.42</w:t>
                </w:r>
              </w:p>
            </w:tc>
          </w:tr>
          <w:tr w:rsidR="00235766" w14:paraId="7F6051CA" w14:textId="77777777">
            <w:trPr>
              <w:trHeight w:val="349"/>
            </w:trPr>
            <w:tc>
              <w:tcPr>
                <w:tcW w:w="172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C5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t>Concomitant MUS</w:t>
                </w:r>
              </w:p>
            </w:tc>
            <w:tc>
              <w:tcPr>
                <w:tcW w:w="127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C6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1.54</w:t>
                </w:r>
              </w:p>
            </w:tc>
            <w:tc>
              <w:tcPr>
                <w:tcW w:w="103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C7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1.27 - 1.88</w:t>
                </w:r>
              </w:p>
            </w:tc>
            <w:tc>
              <w:tcPr>
                <w:tcW w:w="1095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C8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1.49</w:t>
                </w:r>
              </w:p>
            </w:tc>
            <w:tc>
              <w:tcPr>
                <w:tcW w:w="990" w:type="dxa"/>
                <w:shd w:val="clear" w:color="auto" w:fill="F2F2F2"/>
                <w:tcMar>
                  <w:top w:w="30" w:type="dxa"/>
                  <w:left w:w="45" w:type="dxa"/>
                  <w:bottom w:w="30" w:type="dxa"/>
                  <w:right w:w="45" w:type="dxa"/>
                </w:tcMar>
                <w:vAlign w:val="bottom"/>
              </w:tcPr>
              <w:p w14:paraId="7F6051C9" w14:textId="77777777" w:rsidR="00235766" w:rsidRDefault="00000000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1.22 - 1.81</w:t>
                </w:r>
              </w:p>
            </w:tc>
          </w:tr>
        </w:tbl>
      </w:sdtContent>
    </w:sdt>
    <w:p w14:paraId="7F6051CB" w14:textId="77777777" w:rsidR="00235766" w:rsidRDefault="00235766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F6051CC" w14:textId="77777777" w:rsidR="00235766" w:rsidRDefault="0000000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>RR = relative risk, vNOTES = vaginal natural orifice transluminal endoscopic surgery</w:t>
      </w:r>
    </w:p>
    <w:p w14:paraId="7F6051CD" w14:textId="77777777" w:rsidR="00235766" w:rsidRDefault="00235766">
      <w:pPr>
        <w:rPr>
          <w:rFonts w:ascii="Arial" w:eastAsia="Arial" w:hAnsi="Arial" w:cs="Arial"/>
          <w:sz w:val="22"/>
          <w:szCs w:val="22"/>
        </w:rPr>
      </w:pPr>
    </w:p>
    <w:sectPr w:rsidR="002357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6DC626F-AEE3-49E8-9FB5-C131B373A908}"/>
    <w:embedItalic r:id="rId2" w:fontKey="{F0F74F30-283E-4778-A93A-829DF455415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60A1B0B3-5EB2-4D9B-A771-DCD6B2CBF69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66"/>
    <w:rsid w:val="00235766"/>
    <w:rsid w:val="00AB030A"/>
    <w:rsid w:val="00C9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5182"/>
  <w15:docId w15:val="{E6654593-C0C0-4D16-A018-C770B427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4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4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D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D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D5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5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D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D57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A1X+EaKpDciw/zc1cDfXCl8QQ==">CgMxLjAaHwoBMBIaChgICVIUChJ0YWJsZS5pMXRwMXdrZHFkMW84AHIhMWtMUUVIQk1kTWlvQ0JBT1R1dXpTVWIyQzdIQk5LVG9Y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Schweitzer, Gabrielle (Gabby)</dc:creator>
  <cp:lastModifiedBy>Schweitzer, Gabrielle (Gabby)</cp:lastModifiedBy>
  <cp:revision>2</cp:revision>
  <dcterms:created xsi:type="dcterms:W3CDTF">2025-04-07T02:21:00Z</dcterms:created>
  <dcterms:modified xsi:type="dcterms:W3CDTF">2025-04-07T16:55:00Z</dcterms:modified>
</cp:coreProperties>
</file>