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277E" w14:textId="77777777" w:rsidR="009072F5" w:rsidRPr="004E4E42" w:rsidRDefault="009072F5" w:rsidP="009072F5">
      <w:pPr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4E4E42">
        <w:rPr>
          <w:rFonts w:eastAsia="Times New Roman" w:cstheme="minorHAnsi"/>
          <w:b/>
          <w:bCs/>
          <w:color w:val="000000"/>
          <w:sz w:val="22"/>
          <w:szCs w:val="22"/>
        </w:rPr>
        <w:t>Table 1: Clinical Training Experience</w:t>
      </w:r>
    </w:p>
    <w:p w14:paraId="1B65D42F" w14:textId="77777777" w:rsidR="009072F5" w:rsidRDefault="009072F5" w:rsidP="009072F5">
      <w:pPr>
        <w:jc w:val="both"/>
        <w:rPr>
          <w:rFonts w:eastAsia="Times New Roman" w:cstheme="minorHAnsi"/>
          <w:color w:val="000000"/>
          <w:sz w:val="22"/>
          <w:szCs w:val="22"/>
        </w:rPr>
      </w:pPr>
      <w:r w:rsidRPr="007869A5">
        <w:rPr>
          <w:rFonts w:eastAsia="Times New Roman" w:cstheme="minorHAnsi"/>
          <w:color w:val="000000"/>
          <w:sz w:val="22"/>
          <w:szCs w:val="22"/>
        </w:rPr>
        <w:t>Respondents were asked to rate their level of confidence for each</w:t>
      </w:r>
      <w:r>
        <w:rPr>
          <w:rFonts w:eastAsia="Times New Roman" w:cstheme="minorHAnsi"/>
          <w:color w:val="000000"/>
          <w:sz w:val="22"/>
          <w:szCs w:val="22"/>
        </w:rPr>
        <w:t xml:space="preserve"> item, on a 5-point Likert scale</w:t>
      </w:r>
      <w:r w:rsidRPr="007869A5">
        <w:rPr>
          <w:rFonts w:eastAsia="Times New Roman" w:cstheme="minorHAnsi"/>
          <w:color w:val="000000"/>
          <w:sz w:val="22"/>
          <w:szCs w:val="2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1890"/>
        <w:gridCol w:w="1620"/>
        <w:gridCol w:w="1525"/>
      </w:tblGrid>
      <w:tr w:rsidR="009072F5" w14:paraId="1220FC4B" w14:textId="77777777" w:rsidTr="003B370F">
        <w:trPr>
          <w:jc w:val="center"/>
        </w:trPr>
        <w:tc>
          <w:tcPr>
            <w:tcW w:w="4315" w:type="dxa"/>
          </w:tcPr>
          <w:p w14:paraId="2C89D4E9" w14:textId="77777777" w:rsidR="009072F5" w:rsidRPr="002A11DC" w:rsidRDefault="009072F5" w:rsidP="003B370F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16037485"/>
            <w:r w:rsidRPr="002A11D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Training Topic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(N=83)</w:t>
            </w:r>
          </w:p>
        </w:tc>
        <w:tc>
          <w:tcPr>
            <w:tcW w:w="1890" w:type="dxa"/>
          </w:tcPr>
          <w:p w14:paraId="3EB9AD36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Not Confident – Very Unconfident</w:t>
            </w:r>
          </w:p>
        </w:tc>
        <w:tc>
          <w:tcPr>
            <w:tcW w:w="1620" w:type="dxa"/>
          </w:tcPr>
          <w:p w14:paraId="7436BDCA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Neither Confident nor Unconfident</w:t>
            </w:r>
          </w:p>
        </w:tc>
        <w:tc>
          <w:tcPr>
            <w:tcW w:w="1525" w:type="dxa"/>
          </w:tcPr>
          <w:p w14:paraId="731BF207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Confident – Extremely Confident</w:t>
            </w:r>
          </w:p>
        </w:tc>
      </w:tr>
      <w:tr w:rsidR="009072F5" w14:paraId="0416D647" w14:textId="77777777" w:rsidTr="003B370F">
        <w:trPr>
          <w:jc w:val="center"/>
        </w:trPr>
        <w:tc>
          <w:tcPr>
            <w:tcW w:w="4315" w:type="dxa"/>
          </w:tcPr>
          <w:p w14:paraId="167B8591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Identifying the characteristics of an abnormal menstrual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c</w:t>
            </w: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ycle </w:t>
            </w:r>
          </w:p>
        </w:tc>
        <w:tc>
          <w:tcPr>
            <w:tcW w:w="1890" w:type="dxa"/>
            <w:vAlign w:val="center"/>
          </w:tcPr>
          <w:p w14:paraId="1BBFC79F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79 (95.2%)</w:t>
            </w:r>
          </w:p>
        </w:tc>
        <w:tc>
          <w:tcPr>
            <w:tcW w:w="1620" w:type="dxa"/>
            <w:vAlign w:val="center"/>
          </w:tcPr>
          <w:p w14:paraId="2759DE3A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4 (4.8%)</w:t>
            </w:r>
          </w:p>
        </w:tc>
        <w:tc>
          <w:tcPr>
            <w:tcW w:w="1525" w:type="dxa"/>
            <w:vAlign w:val="center"/>
          </w:tcPr>
          <w:p w14:paraId="3DAF2B24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 (0.0%)</w:t>
            </w:r>
          </w:p>
        </w:tc>
      </w:tr>
      <w:tr w:rsidR="009072F5" w14:paraId="07C1BD00" w14:textId="77777777" w:rsidTr="003B370F">
        <w:trPr>
          <w:jc w:val="center"/>
        </w:trPr>
        <w:tc>
          <w:tcPr>
            <w:tcW w:w="4315" w:type="dxa"/>
          </w:tcPr>
          <w:p w14:paraId="7B271F3B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Identifying the red flag signs for a bleeding disorder from the full clinical history</w:t>
            </w:r>
          </w:p>
        </w:tc>
        <w:tc>
          <w:tcPr>
            <w:tcW w:w="1890" w:type="dxa"/>
            <w:vAlign w:val="center"/>
          </w:tcPr>
          <w:p w14:paraId="26E6188A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6 (6.0%)</w:t>
            </w:r>
          </w:p>
        </w:tc>
        <w:tc>
          <w:tcPr>
            <w:tcW w:w="1620" w:type="dxa"/>
            <w:vAlign w:val="center"/>
          </w:tcPr>
          <w:p w14:paraId="64483495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16 (19.3%)</w:t>
            </w:r>
          </w:p>
        </w:tc>
        <w:tc>
          <w:tcPr>
            <w:tcW w:w="1525" w:type="dxa"/>
            <w:vAlign w:val="center"/>
          </w:tcPr>
          <w:p w14:paraId="411618C9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62 (74.7%)</w:t>
            </w:r>
          </w:p>
        </w:tc>
      </w:tr>
      <w:bookmarkEnd w:id="0"/>
      <w:tr w:rsidR="009072F5" w14:paraId="2BD25756" w14:textId="77777777" w:rsidTr="003B370F">
        <w:trPr>
          <w:jc w:val="center"/>
        </w:trPr>
        <w:tc>
          <w:tcPr>
            <w:tcW w:w="4315" w:type="dxa"/>
          </w:tcPr>
          <w:p w14:paraId="2E7C64A5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Identifying the red flag signs for a bleeding disorder from the menstrual history</w:t>
            </w:r>
          </w:p>
        </w:tc>
        <w:tc>
          <w:tcPr>
            <w:tcW w:w="1890" w:type="dxa"/>
            <w:vAlign w:val="center"/>
          </w:tcPr>
          <w:p w14:paraId="752DD7E5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4 (4.8%)</w:t>
            </w:r>
          </w:p>
        </w:tc>
        <w:tc>
          <w:tcPr>
            <w:tcW w:w="1620" w:type="dxa"/>
            <w:vAlign w:val="center"/>
          </w:tcPr>
          <w:p w14:paraId="7AC050BE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23 (27.7%)</w:t>
            </w:r>
          </w:p>
        </w:tc>
        <w:tc>
          <w:tcPr>
            <w:tcW w:w="1525" w:type="dxa"/>
            <w:vAlign w:val="center"/>
          </w:tcPr>
          <w:p w14:paraId="3EE6803C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56 (67.5%)</w:t>
            </w:r>
          </w:p>
        </w:tc>
      </w:tr>
      <w:tr w:rsidR="009072F5" w14:paraId="39A3BF48" w14:textId="77777777" w:rsidTr="003B370F">
        <w:trPr>
          <w:jc w:val="center"/>
        </w:trPr>
        <w:tc>
          <w:tcPr>
            <w:tcW w:w="4315" w:type="dxa"/>
          </w:tcPr>
          <w:p w14:paraId="3F6D5A68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Performing an objective assessment of menstrual blood loss</w:t>
            </w:r>
          </w:p>
        </w:tc>
        <w:tc>
          <w:tcPr>
            <w:tcW w:w="1890" w:type="dxa"/>
            <w:vAlign w:val="center"/>
          </w:tcPr>
          <w:p w14:paraId="61320B4A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15 (18.1%)</w:t>
            </w:r>
          </w:p>
        </w:tc>
        <w:tc>
          <w:tcPr>
            <w:tcW w:w="1620" w:type="dxa"/>
            <w:vAlign w:val="center"/>
          </w:tcPr>
          <w:p w14:paraId="57E808F9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23 (27.7%)</w:t>
            </w:r>
          </w:p>
        </w:tc>
        <w:tc>
          <w:tcPr>
            <w:tcW w:w="1525" w:type="dxa"/>
            <w:vAlign w:val="center"/>
          </w:tcPr>
          <w:p w14:paraId="7BAD124B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45 (54.2%)</w:t>
            </w:r>
          </w:p>
        </w:tc>
      </w:tr>
      <w:tr w:rsidR="009072F5" w14:paraId="7D554067" w14:textId="77777777" w:rsidTr="003B370F">
        <w:trPr>
          <w:jc w:val="center"/>
        </w:trPr>
        <w:tc>
          <w:tcPr>
            <w:tcW w:w="4315" w:type="dxa"/>
          </w:tcPr>
          <w:p w14:paraId="59EE06B2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Understanding the differential diagnosis for the causes of abnormal uterine bleeding</w:t>
            </w:r>
          </w:p>
        </w:tc>
        <w:tc>
          <w:tcPr>
            <w:tcW w:w="1890" w:type="dxa"/>
            <w:vAlign w:val="center"/>
          </w:tcPr>
          <w:p w14:paraId="1B83B6D4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1(1.2%)</w:t>
            </w:r>
          </w:p>
        </w:tc>
        <w:tc>
          <w:tcPr>
            <w:tcW w:w="1620" w:type="dxa"/>
            <w:vAlign w:val="center"/>
          </w:tcPr>
          <w:p w14:paraId="2709A687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11 (13.3%)</w:t>
            </w:r>
          </w:p>
        </w:tc>
        <w:tc>
          <w:tcPr>
            <w:tcW w:w="1525" w:type="dxa"/>
            <w:vAlign w:val="center"/>
          </w:tcPr>
          <w:p w14:paraId="384655C5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71 (85.5%)</w:t>
            </w:r>
          </w:p>
        </w:tc>
      </w:tr>
      <w:tr w:rsidR="009072F5" w14:paraId="35DD95B1" w14:textId="77777777" w:rsidTr="003B370F">
        <w:trPr>
          <w:jc w:val="center"/>
        </w:trPr>
        <w:tc>
          <w:tcPr>
            <w:tcW w:w="4315" w:type="dxa"/>
          </w:tcPr>
          <w:p w14:paraId="4A94A774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Ordering laboratory studies and imaging for causes of abnormal uterine bleeding</w:t>
            </w:r>
          </w:p>
        </w:tc>
        <w:tc>
          <w:tcPr>
            <w:tcW w:w="1890" w:type="dxa"/>
            <w:vAlign w:val="center"/>
          </w:tcPr>
          <w:p w14:paraId="43E8E6AE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24 (28.9%)</w:t>
            </w:r>
          </w:p>
        </w:tc>
        <w:tc>
          <w:tcPr>
            <w:tcW w:w="1620" w:type="dxa"/>
            <w:vAlign w:val="center"/>
          </w:tcPr>
          <w:p w14:paraId="58E67D5F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13 (15.7%)</w:t>
            </w:r>
          </w:p>
        </w:tc>
        <w:tc>
          <w:tcPr>
            <w:tcW w:w="1525" w:type="dxa"/>
            <w:vAlign w:val="center"/>
          </w:tcPr>
          <w:p w14:paraId="1D648F63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68 (81.9%)</w:t>
            </w:r>
          </w:p>
        </w:tc>
      </w:tr>
      <w:tr w:rsidR="009072F5" w14:paraId="77373916" w14:textId="77777777" w:rsidTr="003B370F">
        <w:trPr>
          <w:jc w:val="center"/>
        </w:trPr>
        <w:tc>
          <w:tcPr>
            <w:tcW w:w="4315" w:type="dxa"/>
          </w:tcPr>
          <w:p w14:paraId="10C48125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Ordering laboratory studies to evaluate for a bleeding disorder in patients with HMB</w:t>
            </w:r>
          </w:p>
        </w:tc>
        <w:tc>
          <w:tcPr>
            <w:tcW w:w="1890" w:type="dxa"/>
            <w:vAlign w:val="center"/>
          </w:tcPr>
          <w:p w14:paraId="5D9B13C0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24 (28.9%)</w:t>
            </w:r>
          </w:p>
        </w:tc>
        <w:tc>
          <w:tcPr>
            <w:tcW w:w="1620" w:type="dxa"/>
            <w:vAlign w:val="center"/>
          </w:tcPr>
          <w:p w14:paraId="21518624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25 (30.1%)</w:t>
            </w:r>
          </w:p>
        </w:tc>
        <w:tc>
          <w:tcPr>
            <w:tcW w:w="1525" w:type="dxa"/>
            <w:vAlign w:val="center"/>
          </w:tcPr>
          <w:p w14:paraId="4F93E14D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34 (41.0%)</w:t>
            </w:r>
          </w:p>
        </w:tc>
      </w:tr>
      <w:tr w:rsidR="009072F5" w14:paraId="7CE363A8" w14:textId="77777777" w:rsidTr="003B370F">
        <w:trPr>
          <w:jc w:val="center"/>
        </w:trPr>
        <w:tc>
          <w:tcPr>
            <w:tcW w:w="4315" w:type="dxa"/>
          </w:tcPr>
          <w:p w14:paraId="1C95F356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Managing a patient presenting with acute HMB</w:t>
            </w:r>
          </w:p>
        </w:tc>
        <w:tc>
          <w:tcPr>
            <w:tcW w:w="1890" w:type="dxa"/>
            <w:vAlign w:val="center"/>
          </w:tcPr>
          <w:p w14:paraId="3FA4E4E9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8 (9.6%)</w:t>
            </w:r>
          </w:p>
        </w:tc>
        <w:tc>
          <w:tcPr>
            <w:tcW w:w="1620" w:type="dxa"/>
            <w:vAlign w:val="center"/>
          </w:tcPr>
          <w:p w14:paraId="33EEA11A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11 (13.3%)</w:t>
            </w:r>
          </w:p>
        </w:tc>
        <w:tc>
          <w:tcPr>
            <w:tcW w:w="1525" w:type="dxa"/>
            <w:vAlign w:val="center"/>
          </w:tcPr>
          <w:p w14:paraId="64A72FD8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64 (77.1%)</w:t>
            </w:r>
          </w:p>
        </w:tc>
      </w:tr>
      <w:tr w:rsidR="009072F5" w14:paraId="12EDB1AF" w14:textId="77777777" w:rsidTr="003B370F">
        <w:trPr>
          <w:jc w:val="center"/>
        </w:trPr>
        <w:tc>
          <w:tcPr>
            <w:tcW w:w="4315" w:type="dxa"/>
          </w:tcPr>
          <w:p w14:paraId="3A731D57" w14:textId="77777777" w:rsidR="009072F5" w:rsidRPr="003E0E4F" w:rsidRDefault="009072F5" w:rsidP="003B370F">
            <w:pPr>
              <w:ind w:left="-26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Initiating hormonal treatment in a patient with HMB</w:t>
            </w:r>
          </w:p>
        </w:tc>
        <w:tc>
          <w:tcPr>
            <w:tcW w:w="1890" w:type="dxa"/>
            <w:vAlign w:val="center"/>
          </w:tcPr>
          <w:p w14:paraId="6D396F70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11 (13.3%)</w:t>
            </w:r>
          </w:p>
        </w:tc>
        <w:tc>
          <w:tcPr>
            <w:tcW w:w="1620" w:type="dxa"/>
            <w:vAlign w:val="center"/>
          </w:tcPr>
          <w:p w14:paraId="4F751DEA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10 (12.0%)</w:t>
            </w:r>
          </w:p>
        </w:tc>
        <w:tc>
          <w:tcPr>
            <w:tcW w:w="1525" w:type="dxa"/>
            <w:vAlign w:val="center"/>
          </w:tcPr>
          <w:p w14:paraId="5B096828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62 (74.7%)</w:t>
            </w:r>
          </w:p>
        </w:tc>
      </w:tr>
      <w:tr w:rsidR="009072F5" w14:paraId="58F7907E" w14:textId="77777777" w:rsidTr="003B370F">
        <w:trPr>
          <w:jc w:val="center"/>
        </w:trPr>
        <w:tc>
          <w:tcPr>
            <w:tcW w:w="4315" w:type="dxa"/>
          </w:tcPr>
          <w:p w14:paraId="43C6304F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Initiating non-hormonal treatment in a patient with HMB</w:t>
            </w:r>
          </w:p>
        </w:tc>
        <w:tc>
          <w:tcPr>
            <w:tcW w:w="1890" w:type="dxa"/>
            <w:vAlign w:val="center"/>
          </w:tcPr>
          <w:p w14:paraId="25382735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19 (22.9%)</w:t>
            </w:r>
          </w:p>
        </w:tc>
        <w:tc>
          <w:tcPr>
            <w:tcW w:w="1620" w:type="dxa"/>
            <w:vAlign w:val="center"/>
          </w:tcPr>
          <w:p w14:paraId="7644F44B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20 (24.1%)</w:t>
            </w:r>
          </w:p>
        </w:tc>
        <w:tc>
          <w:tcPr>
            <w:tcW w:w="1525" w:type="dxa"/>
            <w:vAlign w:val="center"/>
          </w:tcPr>
          <w:p w14:paraId="4E5CCB7E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44 (53.0%)</w:t>
            </w:r>
          </w:p>
        </w:tc>
      </w:tr>
      <w:tr w:rsidR="009072F5" w14:paraId="40DE1509" w14:textId="77777777" w:rsidTr="003B370F">
        <w:trPr>
          <w:jc w:val="center"/>
        </w:trPr>
        <w:tc>
          <w:tcPr>
            <w:tcW w:w="4315" w:type="dxa"/>
          </w:tcPr>
          <w:p w14:paraId="2C6F04F2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Initiating hormonal treatment in a patient with HMB due to an IBD</w:t>
            </w:r>
          </w:p>
        </w:tc>
        <w:tc>
          <w:tcPr>
            <w:tcW w:w="1890" w:type="dxa"/>
            <w:vAlign w:val="center"/>
          </w:tcPr>
          <w:p w14:paraId="3A1D8338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40 (48.2%)</w:t>
            </w:r>
          </w:p>
        </w:tc>
        <w:tc>
          <w:tcPr>
            <w:tcW w:w="1620" w:type="dxa"/>
            <w:vAlign w:val="center"/>
          </w:tcPr>
          <w:p w14:paraId="193FC3E1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28 (33.7%)</w:t>
            </w:r>
          </w:p>
        </w:tc>
        <w:tc>
          <w:tcPr>
            <w:tcW w:w="1525" w:type="dxa"/>
            <w:vAlign w:val="center"/>
          </w:tcPr>
          <w:p w14:paraId="3E4A3B9F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15 (18.1%)</w:t>
            </w:r>
          </w:p>
        </w:tc>
      </w:tr>
      <w:tr w:rsidR="009072F5" w14:paraId="02512207" w14:textId="77777777" w:rsidTr="003B370F">
        <w:trPr>
          <w:jc w:val="center"/>
        </w:trPr>
        <w:tc>
          <w:tcPr>
            <w:tcW w:w="4315" w:type="dxa"/>
          </w:tcPr>
          <w:p w14:paraId="22D9BEAE" w14:textId="77777777" w:rsidR="009072F5" w:rsidRPr="003E0E4F" w:rsidRDefault="009072F5" w:rsidP="003B370F">
            <w:pPr>
              <w:ind w:left="-26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Initiating non-hormonal treatment in a patient with HMB due to an IBD</w:t>
            </w:r>
          </w:p>
        </w:tc>
        <w:tc>
          <w:tcPr>
            <w:tcW w:w="1890" w:type="dxa"/>
            <w:vAlign w:val="center"/>
          </w:tcPr>
          <w:p w14:paraId="1674ECD5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43 (51.8%)</w:t>
            </w:r>
          </w:p>
        </w:tc>
        <w:tc>
          <w:tcPr>
            <w:tcW w:w="1620" w:type="dxa"/>
            <w:vAlign w:val="center"/>
          </w:tcPr>
          <w:p w14:paraId="1EAE7622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24 (28.9%)</w:t>
            </w:r>
          </w:p>
        </w:tc>
        <w:tc>
          <w:tcPr>
            <w:tcW w:w="1525" w:type="dxa"/>
            <w:vAlign w:val="center"/>
          </w:tcPr>
          <w:p w14:paraId="25F6A628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16 (19.3%)</w:t>
            </w:r>
          </w:p>
        </w:tc>
      </w:tr>
      <w:tr w:rsidR="009072F5" w14:paraId="258212D1" w14:textId="77777777" w:rsidTr="003B370F">
        <w:trPr>
          <w:jc w:val="center"/>
        </w:trPr>
        <w:tc>
          <w:tcPr>
            <w:tcW w:w="4315" w:type="dxa"/>
          </w:tcPr>
          <w:p w14:paraId="7D9323AE" w14:textId="77777777" w:rsidR="009072F5" w:rsidRPr="003E0E4F" w:rsidRDefault="009072F5" w:rsidP="003B370F">
            <w:pPr>
              <w:ind w:left="-26"/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Screening patients with HMB for iron deficiency anemia</w:t>
            </w:r>
          </w:p>
        </w:tc>
        <w:tc>
          <w:tcPr>
            <w:tcW w:w="1890" w:type="dxa"/>
            <w:vAlign w:val="center"/>
          </w:tcPr>
          <w:p w14:paraId="10CCD2D0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 (2.4%)</w:t>
            </w:r>
          </w:p>
        </w:tc>
        <w:tc>
          <w:tcPr>
            <w:tcW w:w="1620" w:type="dxa"/>
            <w:vAlign w:val="center"/>
          </w:tcPr>
          <w:p w14:paraId="1CC01EB3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6 (7.2%)</w:t>
            </w:r>
          </w:p>
        </w:tc>
        <w:tc>
          <w:tcPr>
            <w:tcW w:w="1525" w:type="dxa"/>
            <w:vAlign w:val="center"/>
          </w:tcPr>
          <w:p w14:paraId="11668828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75 (90.4%)</w:t>
            </w:r>
          </w:p>
        </w:tc>
      </w:tr>
      <w:tr w:rsidR="009072F5" w14:paraId="2AEA69D7" w14:textId="77777777" w:rsidTr="003B370F">
        <w:trPr>
          <w:jc w:val="center"/>
        </w:trPr>
        <w:tc>
          <w:tcPr>
            <w:tcW w:w="4315" w:type="dxa"/>
          </w:tcPr>
          <w:p w14:paraId="0A189CD1" w14:textId="77777777" w:rsidR="009072F5" w:rsidRPr="003E0E4F" w:rsidRDefault="009072F5" w:rsidP="003B370F">
            <w:pPr>
              <w:jc w:val="both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0E4F">
              <w:rPr>
                <w:rFonts w:eastAsia="Times New Roman" w:cstheme="minorHAnsi"/>
                <w:color w:val="000000"/>
                <w:sz w:val="22"/>
                <w:szCs w:val="22"/>
              </w:rPr>
              <w:t>Treating patients with HMB for iron deficiency anemia</w:t>
            </w:r>
          </w:p>
        </w:tc>
        <w:tc>
          <w:tcPr>
            <w:tcW w:w="1890" w:type="dxa"/>
            <w:vAlign w:val="center"/>
          </w:tcPr>
          <w:p w14:paraId="6D44BCF0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2 (2.4%)</w:t>
            </w:r>
          </w:p>
        </w:tc>
        <w:tc>
          <w:tcPr>
            <w:tcW w:w="1620" w:type="dxa"/>
            <w:vAlign w:val="center"/>
          </w:tcPr>
          <w:p w14:paraId="01113A2E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5 (6.0%)</w:t>
            </w:r>
          </w:p>
        </w:tc>
        <w:tc>
          <w:tcPr>
            <w:tcW w:w="1525" w:type="dxa"/>
            <w:vAlign w:val="center"/>
          </w:tcPr>
          <w:p w14:paraId="0CF194E9" w14:textId="77777777" w:rsidR="009072F5" w:rsidRPr="002A11DC" w:rsidRDefault="009072F5" w:rsidP="003B370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A11DC">
              <w:rPr>
                <w:rFonts w:eastAsia="Times New Roman" w:cstheme="minorHAnsi"/>
                <w:color w:val="000000"/>
                <w:sz w:val="22"/>
                <w:szCs w:val="22"/>
              </w:rPr>
              <w:t>76 (91.6%)</w:t>
            </w:r>
          </w:p>
        </w:tc>
      </w:tr>
    </w:tbl>
    <w:p w14:paraId="7DEB2F1C" w14:textId="77777777" w:rsidR="009072F5" w:rsidRDefault="009072F5" w:rsidP="009072F5">
      <w:pPr>
        <w:jc w:val="both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HMB – heavy menstrual bleeding; IBD – inherited bleeding disorder</w:t>
      </w:r>
    </w:p>
    <w:p w14:paraId="307FB739" w14:textId="77777777" w:rsidR="003E1BEA" w:rsidRDefault="003E1BEA"/>
    <w:sectPr w:rsidR="003E1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5"/>
    <w:rsid w:val="003E1BEA"/>
    <w:rsid w:val="0090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024A"/>
  <w15:chartTrackingRefBased/>
  <w15:docId w15:val="{7871DF1D-117D-420B-A55B-88F001E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F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2F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Huguelet, Patricia S</dc:creator>
  <cp:keywords/>
  <dc:description/>
  <cp:lastModifiedBy>Huguelet, Patricia S</cp:lastModifiedBy>
  <cp:revision>1</cp:revision>
  <dcterms:created xsi:type="dcterms:W3CDTF">2022-10-17T21:08:00Z</dcterms:created>
  <dcterms:modified xsi:type="dcterms:W3CDTF">2022-10-17T21:09:00Z</dcterms:modified>
</cp:coreProperties>
</file>