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886C" w14:textId="77777777" w:rsidR="002C5B1E" w:rsidRPr="00C83861" w:rsidRDefault="002C5B1E" w:rsidP="002C5B1E">
      <w:pPr>
        <w:rPr>
          <w:rFonts w:ascii="Arial" w:hAnsi="Arial" w:cs="Arial"/>
          <w:b/>
          <w:bCs/>
          <w:sz w:val="22"/>
          <w:szCs w:val="22"/>
        </w:rPr>
      </w:pPr>
    </w:p>
    <w:p w14:paraId="207C8B9A" w14:textId="1EF2DC38" w:rsidR="002C5B1E" w:rsidRDefault="002C5B1E" w:rsidP="002C5B1E">
      <w:pPr>
        <w:rPr>
          <w:rFonts w:ascii="Arial" w:hAnsi="Arial" w:cs="Arial"/>
          <w:sz w:val="22"/>
          <w:szCs w:val="22"/>
        </w:rPr>
      </w:pPr>
      <w:r w:rsidRPr="00C83861">
        <w:rPr>
          <w:rFonts w:ascii="Arial" w:hAnsi="Arial" w:cs="Arial"/>
          <w:sz w:val="22"/>
          <w:szCs w:val="22"/>
        </w:rPr>
        <w:t>Figure: Boxplots of time to operating room from four time points among patients with ovarian torsion (n = 60), by subsequent ovarian removal status. Center line of the box represents the median time, while lower and upper box edges mark the 25</w:t>
      </w:r>
      <w:r w:rsidRPr="00C83861">
        <w:rPr>
          <w:rFonts w:ascii="Arial" w:hAnsi="Arial" w:cs="Arial"/>
          <w:sz w:val="22"/>
          <w:szCs w:val="22"/>
          <w:vertAlign w:val="superscript"/>
        </w:rPr>
        <w:t>th</w:t>
      </w:r>
      <w:r w:rsidRPr="00C83861">
        <w:rPr>
          <w:rFonts w:ascii="Arial" w:hAnsi="Arial" w:cs="Arial"/>
          <w:sz w:val="22"/>
          <w:szCs w:val="22"/>
        </w:rPr>
        <w:t xml:space="preserve"> and 75</w:t>
      </w:r>
      <w:r w:rsidRPr="00C83861">
        <w:rPr>
          <w:rFonts w:ascii="Arial" w:hAnsi="Arial" w:cs="Arial"/>
          <w:sz w:val="22"/>
          <w:szCs w:val="22"/>
          <w:vertAlign w:val="superscript"/>
        </w:rPr>
        <w:t>th</w:t>
      </w:r>
      <w:r w:rsidRPr="00C83861">
        <w:rPr>
          <w:rFonts w:ascii="Arial" w:hAnsi="Arial" w:cs="Arial"/>
          <w:sz w:val="22"/>
          <w:szCs w:val="22"/>
        </w:rPr>
        <w:t xml:space="preserve"> percentiles, respectively. Lines extend to 1.5 times the interquartile range and dots represent outliers.</w:t>
      </w:r>
    </w:p>
    <w:p w14:paraId="65F70D8F" w14:textId="77777777" w:rsidR="002155B4" w:rsidRPr="00C83861" w:rsidRDefault="002155B4" w:rsidP="002C5B1E">
      <w:pPr>
        <w:rPr>
          <w:rFonts w:ascii="Arial" w:hAnsi="Arial" w:cs="Arial"/>
          <w:sz w:val="22"/>
          <w:szCs w:val="22"/>
        </w:rPr>
      </w:pPr>
    </w:p>
    <w:p w14:paraId="22907AE8" w14:textId="77777777" w:rsidR="00AA1265" w:rsidRPr="00C83861" w:rsidRDefault="00AA1265" w:rsidP="00AA1265">
      <w:pPr>
        <w:rPr>
          <w:rFonts w:ascii="Arial" w:hAnsi="Arial" w:cs="Arial"/>
          <w:b/>
          <w:bCs/>
          <w:sz w:val="22"/>
          <w:szCs w:val="22"/>
        </w:rPr>
      </w:pPr>
      <w:r w:rsidRPr="00C8386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C22AEF2" wp14:editId="799E352E">
            <wp:extent cx="5943600" cy="43218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A7455" w14:textId="77777777" w:rsidR="00F72F78" w:rsidRDefault="00F72F78"/>
    <w:sectPr w:rsidR="00F72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65"/>
    <w:rsid w:val="002155B4"/>
    <w:rsid w:val="002C5B1E"/>
    <w:rsid w:val="007058DA"/>
    <w:rsid w:val="00AA1265"/>
    <w:rsid w:val="00DB40DD"/>
    <w:rsid w:val="00F7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01F9D3"/>
  <w15:chartTrackingRefBased/>
  <w15:docId w15:val="{CA774EC3-6214-2E4C-B41F-0DF7B57A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Schmidt</dc:creator>
  <cp:keywords/>
  <dc:description/>
  <cp:lastModifiedBy>Ellie Schmidt</cp:lastModifiedBy>
  <cp:revision>3</cp:revision>
  <dcterms:created xsi:type="dcterms:W3CDTF">2022-10-24T04:49:00Z</dcterms:created>
  <dcterms:modified xsi:type="dcterms:W3CDTF">2022-10-24T04:50:00Z</dcterms:modified>
</cp:coreProperties>
</file>